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09" w:rsidRDefault="003305E5">
      <w:r>
        <w:rPr>
          <w:noProof/>
        </w:rPr>
        <w:drawing>
          <wp:inline distT="0" distB="0" distL="0" distR="0">
            <wp:extent cx="5029200" cy="504825"/>
            <wp:effectExtent l="0" t="0" r="0" b="9525"/>
            <wp:docPr id="1" name="Picture 1" descr="l 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504825"/>
                    </a:xfrm>
                    <a:prstGeom prst="rect">
                      <a:avLst/>
                    </a:prstGeom>
                    <a:noFill/>
                    <a:ln>
                      <a:noFill/>
                    </a:ln>
                  </pic:spPr>
                </pic:pic>
              </a:graphicData>
            </a:graphic>
          </wp:inline>
        </w:drawing>
      </w:r>
    </w:p>
    <w:p w:rsidR="00AB4209" w:rsidRDefault="00AB4209"/>
    <w:p w:rsidR="00AB4209" w:rsidRDefault="00AB4209">
      <w:pPr>
        <w:rPr>
          <w:rFonts w:ascii="Arial Black" w:hAnsi="Arial Black"/>
          <w:sz w:val="32"/>
          <w:szCs w:val="32"/>
        </w:rPr>
      </w:pPr>
      <w:r w:rsidRPr="00AB4209">
        <w:rPr>
          <w:rFonts w:ascii="Arial Black" w:hAnsi="Arial Black"/>
          <w:sz w:val="32"/>
          <w:szCs w:val="32"/>
        </w:rPr>
        <w:t xml:space="preserve">Parliamentary Briefing </w:t>
      </w:r>
    </w:p>
    <w:p w:rsidR="00AC2B2F" w:rsidRDefault="00AC2B2F">
      <w:pPr>
        <w:rPr>
          <w:rFonts w:ascii="Arial Black" w:hAnsi="Arial Black"/>
          <w:sz w:val="32"/>
          <w:szCs w:val="32"/>
        </w:rPr>
      </w:pPr>
    </w:p>
    <w:p w:rsidR="00AB4209" w:rsidRPr="003305E5" w:rsidRDefault="003305E5">
      <w:pPr>
        <w:rPr>
          <w:sz w:val="32"/>
          <w:szCs w:val="32"/>
        </w:rPr>
      </w:pPr>
      <w:r w:rsidRPr="003305E5">
        <w:rPr>
          <w:rFonts w:ascii="Arial Black" w:hAnsi="Arial Black"/>
          <w:b/>
          <w:sz w:val="32"/>
          <w:szCs w:val="32"/>
        </w:rPr>
        <w:t>Local Government, Sustainable Development and Scotland’s Environment</w:t>
      </w:r>
    </w:p>
    <w:p w:rsidR="00AB4209" w:rsidRDefault="00AB4209"/>
    <w:p w:rsidR="00AB4209" w:rsidRPr="00AC2B2F" w:rsidRDefault="00AB4209">
      <w:pPr>
        <w:rPr>
          <w:rFonts w:ascii="Arial" w:hAnsi="Arial" w:cs="Arial"/>
          <w:b/>
          <w:i/>
        </w:rPr>
      </w:pPr>
      <w:r w:rsidRPr="00AC2B2F">
        <w:rPr>
          <w:rFonts w:ascii="Arial" w:hAnsi="Arial" w:cs="Arial"/>
          <w:b/>
        </w:rPr>
        <w:t xml:space="preserve">From: </w:t>
      </w:r>
      <w:r w:rsidR="003305E5">
        <w:rPr>
          <w:rFonts w:ascii="Arial" w:hAnsi="Arial" w:cs="Arial"/>
          <w:b/>
        </w:rPr>
        <w:t>Scottish Environment Link Parliamentary Office</w:t>
      </w:r>
    </w:p>
    <w:p w:rsidR="00AB4209" w:rsidRDefault="00AB4209">
      <w:pPr>
        <w:rPr>
          <w:rFonts w:ascii="Arial" w:hAnsi="Arial" w:cs="Arial"/>
        </w:rPr>
      </w:pPr>
    </w:p>
    <w:p w:rsidR="001955B0" w:rsidRPr="001955B0" w:rsidRDefault="001955B0" w:rsidP="001955B0">
      <w:pPr>
        <w:jc w:val="both"/>
        <w:rPr>
          <w:rFonts w:ascii="Corbel" w:eastAsia="Calibri" w:hAnsi="Corbel"/>
          <w:sz w:val="20"/>
          <w:szCs w:val="20"/>
          <w:lang w:eastAsia="en-US"/>
        </w:rPr>
      </w:pPr>
      <w:r w:rsidRPr="001955B0">
        <w:rPr>
          <w:rFonts w:ascii="Corbel" w:eastAsia="Calibri" w:hAnsi="Corbel"/>
          <w:sz w:val="20"/>
          <w:szCs w:val="20"/>
          <w:lang w:eastAsia="en-US"/>
        </w:rPr>
        <w:t xml:space="preserve">Scottish Environment LINK is the forum for Scotland’s voluntary environmental sector organisations, with over thirty members collectively representing around half a milli0n people.  LINK has been working with local councillors, officers and agencies to further improve the environmental performance and understanding of Scotland’s Councils.  LINK supports in principle a National Planning Framework with nationally agreed outcomes and indicators and scope for local prioritisation relevant to different Council areas, so long as this is appropriately underpinned with robust guidance, direction and support from national Government.  </w:t>
      </w:r>
    </w:p>
    <w:p w:rsidR="001955B0" w:rsidRPr="001955B0" w:rsidRDefault="001955B0" w:rsidP="001955B0">
      <w:pPr>
        <w:jc w:val="both"/>
        <w:rPr>
          <w:rFonts w:ascii="Corbel" w:eastAsia="Calibri" w:hAnsi="Corbel"/>
          <w:sz w:val="20"/>
          <w:szCs w:val="20"/>
          <w:lang w:eastAsia="en-US"/>
        </w:rPr>
      </w:pPr>
    </w:p>
    <w:p w:rsidR="001955B0" w:rsidRPr="001955B0" w:rsidRDefault="001955B0" w:rsidP="001955B0">
      <w:pPr>
        <w:jc w:val="both"/>
        <w:rPr>
          <w:rFonts w:ascii="Corbel" w:hAnsi="Corbel"/>
          <w:color w:val="000000"/>
          <w:sz w:val="20"/>
          <w:szCs w:val="20"/>
        </w:rPr>
      </w:pPr>
      <w:r w:rsidRPr="001955B0">
        <w:rPr>
          <w:rFonts w:ascii="Corbel" w:eastAsia="Calibri" w:hAnsi="Corbel"/>
          <w:sz w:val="20"/>
          <w:szCs w:val="20"/>
          <w:lang w:eastAsia="en-US"/>
        </w:rPr>
        <w:t xml:space="preserve">LINK </w:t>
      </w:r>
      <w:r w:rsidRPr="001955B0">
        <w:rPr>
          <w:rFonts w:ascii="Corbel" w:hAnsi="Corbel"/>
          <w:color w:val="000000"/>
          <w:sz w:val="20"/>
          <w:szCs w:val="20"/>
        </w:rPr>
        <w:t>offers support to Councils and Community Planning Partnerships through the on</w:t>
      </w:r>
      <w:r w:rsidR="00703AA7">
        <w:rPr>
          <w:rFonts w:ascii="Corbel" w:hAnsi="Corbel"/>
          <w:color w:val="000000"/>
          <w:sz w:val="20"/>
          <w:szCs w:val="20"/>
        </w:rPr>
        <w:t>-</w:t>
      </w:r>
      <w:r w:rsidRPr="001955B0">
        <w:rPr>
          <w:rFonts w:ascii="Corbel" w:hAnsi="Corbel"/>
          <w:color w:val="000000"/>
          <w:sz w:val="20"/>
          <w:szCs w:val="20"/>
        </w:rPr>
        <w:t>going process of development of Single Outcome Agreements, particularly in relation to Scotland’s sustainable development commitments and its environment. LINK’s 2010 report</w:t>
      </w:r>
      <w:r w:rsidRPr="001955B0">
        <w:rPr>
          <w:rFonts w:ascii="Corbel" w:hAnsi="Corbel"/>
          <w:color w:val="000000"/>
          <w:sz w:val="20"/>
          <w:szCs w:val="20"/>
          <w:vertAlign w:val="superscript"/>
        </w:rPr>
        <w:footnoteReference w:id="1"/>
      </w:r>
      <w:r w:rsidRPr="001955B0">
        <w:rPr>
          <w:rFonts w:ascii="Corbel" w:hAnsi="Corbel"/>
          <w:color w:val="000000"/>
          <w:sz w:val="20"/>
          <w:szCs w:val="20"/>
        </w:rPr>
        <w:t xml:space="preserve"> prioritises ten areas: Biodiversity, Climate Change, Ecological Footprint, Education/Volunteering, Historic &amp; Built Environment, Landscape, Physical Activity/Health, Recreational Access, Transport, </w:t>
      </w:r>
      <w:proofErr w:type="gramStart"/>
      <w:r w:rsidRPr="001955B0">
        <w:rPr>
          <w:rFonts w:ascii="Corbel" w:hAnsi="Corbel"/>
          <w:color w:val="000000"/>
          <w:sz w:val="20"/>
          <w:szCs w:val="20"/>
        </w:rPr>
        <w:t>Water</w:t>
      </w:r>
      <w:proofErr w:type="gramEnd"/>
      <w:r w:rsidRPr="001955B0">
        <w:rPr>
          <w:rFonts w:ascii="Corbel" w:hAnsi="Corbel"/>
          <w:color w:val="000000"/>
          <w:sz w:val="20"/>
          <w:szCs w:val="20"/>
        </w:rPr>
        <w:t xml:space="preserve"> &amp; Flooding.  LINK is monitoring these areas to see how they are faring.  LINK has established dialogue about the process and future expectations with Scottish Government, the Improvement Service, </w:t>
      </w:r>
      <w:proofErr w:type="spellStart"/>
      <w:r w:rsidRPr="001955B0">
        <w:rPr>
          <w:rFonts w:ascii="Corbel" w:hAnsi="Corbel"/>
          <w:color w:val="000000"/>
          <w:sz w:val="20"/>
          <w:szCs w:val="20"/>
        </w:rPr>
        <w:t>CoSLA</w:t>
      </w:r>
      <w:proofErr w:type="spellEnd"/>
      <w:r w:rsidRPr="001955B0">
        <w:rPr>
          <w:rFonts w:ascii="Corbel" w:hAnsi="Corbel"/>
          <w:color w:val="000000"/>
          <w:sz w:val="20"/>
          <w:szCs w:val="20"/>
        </w:rPr>
        <w:t>, SOLACE, SNH, SEPA and other Agencies, as well as the Sustainable Development Commission Scotland (now disbanded) and the Sustainable Scotland Network. In winter 2010/11 LINK commissioned from CAG Consultants an audit of SOAs</w:t>
      </w:r>
      <w:r w:rsidRPr="001955B0">
        <w:rPr>
          <w:rFonts w:ascii="Corbel" w:hAnsi="Corbel"/>
          <w:color w:val="000000"/>
          <w:sz w:val="20"/>
          <w:szCs w:val="20"/>
          <w:vertAlign w:val="superscript"/>
        </w:rPr>
        <w:footnoteReference w:id="2"/>
      </w:r>
      <w:r w:rsidRPr="001955B0">
        <w:rPr>
          <w:rFonts w:ascii="Corbel" w:hAnsi="Corbel"/>
          <w:color w:val="000000"/>
          <w:sz w:val="20"/>
          <w:szCs w:val="20"/>
        </w:rPr>
        <w:t xml:space="preserve"> which captured how sustainable development and the environment were being addressed by each CPP and determined emerging trends.  This found significant gaps in addressing national priorities such as climate change adaptation, landscape, the historic environment and the sustainable management of water resources, despite evidence that we can achieve more by joining up economic, social and environmental services. The audit did point to good practice by a few Councils which recognise the benefits of strong environmental policies in terms of adding value to health, jobs, and pride in the community; however many local authorities, along with their Community Planning Partnerships, were failing to see sustainable development as a priority.</w:t>
      </w:r>
    </w:p>
    <w:p w:rsidR="001955B0" w:rsidRPr="001955B0" w:rsidRDefault="001955B0" w:rsidP="001955B0">
      <w:pPr>
        <w:jc w:val="both"/>
        <w:rPr>
          <w:rFonts w:ascii="Corbel" w:hAnsi="Corbel"/>
          <w:color w:val="000000"/>
          <w:sz w:val="20"/>
          <w:szCs w:val="20"/>
        </w:rPr>
      </w:pPr>
      <w:r w:rsidRPr="001955B0">
        <w:rPr>
          <w:rFonts w:ascii="Corbel" w:eastAsia="Calibri" w:hAnsi="Corbel"/>
          <w:szCs w:val="22"/>
          <w:lang w:eastAsia="en-US"/>
        </w:rPr>
        <w:t xml:space="preserve"> </w:t>
      </w:r>
    </w:p>
    <w:p w:rsidR="00E136D6" w:rsidRDefault="001955B0" w:rsidP="001955B0">
      <w:pPr>
        <w:jc w:val="both"/>
        <w:rPr>
          <w:rFonts w:ascii="Corbel" w:hAnsi="Corbel"/>
          <w:color w:val="000000"/>
          <w:sz w:val="20"/>
          <w:szCs w:val="20"/>
        </w:rPr>
      </w:pPr>
      <w:r w:rsidRPr="001955B0">
        <w:rPr>
          <w:rFonts w:ascii="Corbel" w:hAnsi="Corbel"/>
          <w:color w:val="000000"/>
          <w:sz w:val="20"/>
          <w:szCs w:val="20"/>
        </w:rPr>
        <w:t>Pursuing this, a seminar in February 2011 co-hosted by LINK and many of the above bodies, considered the process, shared experience, identified good practice which could be developed.  Over two-thirds of CPPs were represented as well as Government and the other stakeholders.  The independent report on this seminar</w:t>
      </w:r>
      <w:r w:rsidRPr="001955B0">
        <w:rPr>
          <w:rFonts w:ascii="Corbel" w:hAnsi="Corbel"/>
          <w:color w:val="000000"/>
          <w:sz w:val="20"/>
          <w:szCs w:val="20"/>
          <w:vertAlign w:val="superscript"/>
        </w:rPr>
        <w:footnoteReference w:id="3"/>
      </w:r>
      <w:r w:rsidRPr="001955B0">
        <w:rPr>
          <w:rFonts w:ascii="Corbel" w:hAnsi="Corbel"/>
          <w:color w:val="000000"/>
          <w:sz w:val="20"/>
          <w:szCs w:val="20"/>
        </w:rPr>
        <w:t xml:space="preserve"> indicates considerable common ground about how the SOA process should be supported and directed nationally, if Scotland is to succeed in delivering national commitments at the local level through concordat between national and local government.  </w:t>
      </w:r>
    </w:p>
    <w:p w:rsidR="001955B0" w:rsidRDefault="001955B0" w:rsidP="001955B0">
      <w:pPr>
        <w:jc w:val="both"/>
        <w:rPr>
          <w:rFonts w:ascii="Corbel" w:hAnsi="Corbel"/>
          <w:color w:val="000000"/>
          <w:sz w:val="20"/>
          <w:szCs w:val="20"/>
        </w:rPr>
      </w:pPr>
      <w:r w:rsidRPr="001955B0">
        <w:rPr>
          <w:rFonts w:ascii="Corbel" w:hAnsi="Corbel"/>
          <w:color w:val="000000"/>
          <w:sz w:val="20"/>
          <w:szCs w:val="20"/>
        </w:rPr>
        <w:lastRenderedPageBreak/>
        <w:t>Key recommendations are for:</w:t>
      </w:r>
    </w:p>
    <w:p w:rsidR="00B154C8" w:rsidRPr="001955B0" w:rsidRDefault="00B154C8" w:rsidP="001955B0">
      <w:pPr>
        <w:jc w:val="both"/>
        <w:rPr>
          <w:rFonts w:ascii="Corbel" w:hAnsi="Corbel"/>
          <w:color w:val="000000"/>
          <w:sz w:val="20"/>
          <w:szCs w:val="20"/>
        </w:rPr>
      </w:pPr>
    </w:p>
    <w:p w:rsidR="001955B0" w:rsidRPr="001955B0" w:rsidRDefault="001955B0" w:rsidP="001955B0">
      <w:pPr>
        <w:numPr>
          <w:ilvl w:val="0"/>
          <w:numId w:val="2"/>
        </w:numPr>
        <w:tabs>
          <w:tab w:val="num" w:pos="1080"/>
        </w:tabs>
        <w:spacing w:after="200" w:line="276" w:lineRule="auto"/>
        <w:jc w:val="both"/>
        <w:rPr>
          <w:rFonts w:ascii="Corbel" w:eastAsia="Calibri" w:hAnsi="Corbel"/>
          <w:sz w:val="20"/>
          <w:szCs w:val="20"/>
          <w:lang w:eastAsia="en-US"/>
        </w:rPr>
      </w:pPr>
      <w:r w:rsidRPr="001955B0">
        <w:rPr>
          <w:rFonts w:ascii="Corbel" w:hAnsi="Corbel"/>
          <w:color w:val="000000"/>
          <w:sz w:val="20"/>
          <w:szCs w:val="20"/>
        </w:rPr>
        <w:t>Leadership, both political and management</w:t>
      </w:r>
    </w:p>
    <w:p w:rsidR="001955B0" w:rsidRPr="001955B0" w:rsidRDefault="001955B0" w:rsidP="001955B0">
      <w:pPr>
        <w:numPr>
          <w:ilvl w:val="0"/>
          <w:numId w:val="2"/>
        </w:numPr>
        <w:tabs>
          <w:tab w:val="num" w:pos="1080"/>
        </w:tabs>
        <w:spacing w:after="200" w:line="276" w:lineRule="auto"/>
        <w:jc w:val="both"/>
        <w:rPr>
          <w:rFonts w:ascii="Corbel" w:eastAsia="Calibri" w:hAnsi="Corbel"/>
          <w:sz w:val="20"/>
          <w:szCs w:val="20"/>
          <w:lang w:eastAsia="en-US"/>
        </w:rPr>
      </w:pPr>
      <w:r w:rsidRPr="001955B0">
        <w:rPr>
          <w:rFonts w:ascii="Corbel" w:eastAsia="Calibri" w:hAnsi="Corbel"/>
          <w:sz w:val="20"/>
          <w:szCs w:val="20"/>
          <w:lang w:eastAsia="en-US"/>
        </w:rPr>
        <w:t xml:space="preserve">Clear guidance and establishment of a more responsive mutual learning process </w:t>
      </w:r>
    </w:p>
    <w:p w:rsidR="001955B0" w:rsidRPr="001955B0" w:rsidRDefault="001955B0" w:rsidP="001955B0">
      <w:pPr>
        <w:numPr>
          <w:ilvl w:val="0"/>
          <w:numId w:val="2"/>
        </w:numPr>
        <w:tabs>
          <w:tab w:val="num" w:pos="1080"/>
        </w:tabs>
        <w:spacing w:after="200" w:line="276" w:lineRule="auto"/>
        <w:jc w:val="both"/>
        <w:rPr>
          <w:rFonts w:ascii="Corbel" w:eastAsia="Calibri" w:hAnsi="Corbel"/>
          <w:sz w:val="20"/>
          <w:szCs w:val="20"/>
          <w:lang w:eastAsia="en-US"/>
        </w:rPr>
      </w:pPr>
      <w:r w:rsidRPr="001955B0">
        <w:rPr>
          <w:rFonts w:ascii="Corbel" w:eastAsia="Calibri" w:hAnsi="Corbel"/>
          <w:sz w:val="20"/>
          <w:szCs w:val="20"/>
          <w:lang w:eastAsia="en-US"/>
        </w:rPr>
        <w:t>Evidence base for Area Profiles to inform priorities and outcomes</w:t>
      </w:r>
    </w:p>
    <w:p w:rsidR="001955B0" w:rsidRPr="001955B0" w:rsidRDefault="001955B0" w:rsidP="001955B0">
      <w:pPr>
        <w:numPr>
          <w:ilvl w:val="0"/>
          <w:numId w:val="2"/>
        </w:numPr>
        <w:tabs>
          <w:tab w:val="num" w:pos="1080"/>
        </w:tabs>
        <w:spacing w:after="200" w:line="276" w:lineRule="auto"/>
        <w:jc w:val="both"/>
        <w:rPr>
          <w:rFonts w:ascii="Corbel" w:eastAsia="Calibri" w:hAnsi="Corbel"/>
          <w:sz w:val="20"/>
          <w:szCs w:val="20"/>
          <w:lang w:eastAsia="en-US"/>
        </w:rPr>
      </w:pPr>
      <w:r w:rsidRPr="001955B0">
        <w:rPr>
          <w:rFonts w:ascii="Corbel" w:eastAsia="Calibri" w:hAnsi="Corbel"/>
          <w:sz w:val="20"/>
          <w:szCs w:val="20"/>
          <w:lang w:eastAsia="en-US"/>
        </w:rPr>
        <w:t xml:space="preserve">Small number of genuinely strategic local outcomes as basis for SOAs </w:t>
      </w:r>
    </w:p>
    <w:p w:rsidR="001955B0" w:rsidRPr="001955B0" w:rsidRDefault="001955B0" w:rsidP="001955B0">
      <w:pPr>
        <w:numPr>
          <w:ilvl w:val="0"/>
          <w:numId w:val="2"/>
        </w:numPr>
        <w:tabs>
          <w:tab w:val="num" w:pos="1080"/>
        </w:tabs>
        <w:spacing w:after="200" w:line="276" w:lineRule="auto"/>
        <w:jc w:val="both"/>
        <w:rPr>
          <w:rFonts w:ascii="Corbel" w:eastAsia="Calibri" w:hAnsi="Corbel"/>
          <w:sz w:val="20"/>
          <w:szCs w:val="20"/>
          <w:lang w:eastAsia="en-US"/>
        </w:rPr>
      </w:pPr>
      <w:r w:rsidRPr="001955B0">
        <w:rPr>
          <w:rFonts w:ascii="Corbel" w:eastAsia="Calibri" w:hAnsi="Corbel"/>
          <w:sz w:val="20"/>
          <w:szCs w:val="20"/>
          <w:lang w:eastAsia="en-US"/>
        </w:rPr>
        <w:t>Great care to be taken to ensure indicators and targets don’t drive the process</w:t>
      </w:r>
    </w:p>
    <w:p w:rsidR="001955B0" w:rsidRPr="001955B0" w:rsidRDefault="001955B0" w:rsidP="001955B0">
      <w:pPr>
        <w:numPr>
          <w:ilvl w:val="0"/>
          <w:numId w:val="2"/>
        </w:numPr>
        <w:tabs>
          <w:tab w:val="num" w:pos="1080"/>
        </w:tabs>
        <w:spacing w:after="200" w:line="276" w:lineRule="auto"/>
        <w:jc w:val="both"/>
        <w:rPr>
          <w:rFonts w:ascii="Corbel" w:eastAsia="Calibri" w:hAnsi="Corbel"/>
          <w:sz w:val="20"/>
          <w:szCs w:val="20"/>
          <w:lang w:eastAsia="en-US"/>
        </w:rPr>
      </w:pPr>
      <w:r w:rsidRPr="001955B0">
        <w:rPr>
          <w:rFonts w:ascii="Corbel" w:eastAsia="Calibri" w:hAnsi="Corbel"/>
          <w:sz w:val="20"/>
          <w:szCs w:val="20"/>
          <w:lang w:eastAsia="en-US"/>
        </w:rPr>
        <w:t xml:space="preserve">Improved accountability  </w:t>
      </w:r>
      <w:bookmarkStart w:id="0" w:name="_GoBack"/>
      <w:bookmarkEnd w:id="0"/>
    </w:p>
    <w:p w:rsidR="001955B0" w:rsidRPr="001955B0" w:rsidRDefault="001955B0" w:rsidP="001955B0">
      <w:pPr>
        <w:jc w:val="both"/>
        <w:rPr>
          <w:rFonts w:ascii="Corbel" w:hAnsi="Corbel"/>
          <w:color w:val="000000"/>
          <w:sz w:val="20"/>
          <w:szCs w:val="20"/>
        </w:rPr>
      </w:pPr>
    </w:p>
    <w:p w:rsidR="001955B0" w:rsidRDefault="001955B0" w:rsidP="001955B0">
      <w:pPr>
        <w:jc w:val="both"/>
        <w:rPr>
          <w:rFonts w:ascii="Corbel" w:eastAsia="Calibri" w:hAnsi="Corbel"/>
          <w:sz w:val="20"/>
          <w:szCs w:val="20"/>
          <w:lang w:eastAsia="en-US"/>
        </w:rPr>
      </w:pPr>
      <w:r w:rsidRPr="001955B0">
        <w:rPr>
          <w:rFonts w:ascii="Corbel" w:eastAsia="Calibri" w:hAnsi="Corbel"/>
          <w:sz w:val="20"/>
          <w:szCs w:val="20"/>
          <w:lang w:eastAsia="en-US"/>
        </w:rPr>
        <w:t>LINK will continue to monitor the process in the lead-up to the Local Government elections in 2012 with the following work streams:</w:t>
      </w:r>
    </w:p>
    <w:p w:rsidR="00B154C8" w:rsidRPr="001955B0" w:rsidRDefault="00B154C8" w:rsidP="001955B0">
      <w:pPr>
        <w:jc w:val="both"/>
        <w:rPr>
          <w:rFonts w:ascii="Corbel" w:eastAsia="Calibri" w:hAnsi="Corbel"/>
          <w:sz w:val="20"/>
          <w:szCs w:val="20"/>
          <w:lang w:eastAsia="en-US"/>
        </w:rPr>
      </w:pPr>
    </w:p>
    <w:p w:rsidR="001955B0" w:rsidRPr="001955B0" w:rsidRDefault="001955B0" w:rsidP="001955B0">
      <w:pPr>
        <w:numPr>
          <w:ilvl w:val="0"/>
          <w:numId w:val="1"/>
        </w:numPr>
        <w:spacing w:after="200" w:line="276" w:lineRule="auto"/>
        <w:jc w:val="both"/>
        <w:rPr>
          <w:rFonts w:ascii="Corbel" w:eastAsia="Calibri" w:hAnsi="Corbel"/>
          <w:sz w:val="20"/>
          <w:szCs w:val="20"/>
          <w:lang w:eastAsia="en-US"/>
        </w:rPr>
      </w:pPr>
      <w:r w:rsidRPr="001955B0">
        <w:rPr>
          <w:rFonts w:ascii="Corbel" w:eastAsia="Calibri" w:hAnsi="Corbel"/>
          <w:b/>
          <w:sz w:val="20"/>
          <w:szCs w:val="20"/>
          <w:lang w:eastAsia="en-US"/>
        </w:rPr>
        <w:t>The LINK Local Government Manifesto</w:t>
      </w:r>
      <w:r w:rsidRPr="001955B0">
        <w:rPr>
          <w:rFonts w:ascii="Corbel" w:eastAsia="Calibri" w:hAnsi="Corbel"/>
          <w:sz w:val="20"/>
          <w:szCs w:val="20"/>
          <w:lang w:eastAsia="en-US"/>
        </w:rPr>
        <w:t xml:space="preserve"> – We will produce a manifesto for local action in Autumn 2011 asking the political parties at national and local levels to commit to further improving environmental performance and suggesting measures to achieve this goal.</w:t>
      </w:r>
    </w:p>
    <w:p w:rsidR="001955B0" w:rsidRPr="001955B0" w:rsidRDefault="001955B0" w:rsidP="001955B0">
      <w:pPr>
        <w:numPr>
          <w:ilvl w:val="0"/>
          <w:numId w:val="1"/>
        </w:numPr>
        <w:spacing w:after="200" w:line="276" w:lineRule="auto"/>
        <w:jc w:val="both"/>
        <w:rPr>
          <w:rFonts w:ascii="Corbel" w:eastAsia="Calibri" w:hAnsi="Corbel"/>
          <w:sz w:val="20"/>
          <w:szCs w:val="20"/>
          <w:lang w:eastAsia="en-US"/>
        </w:rPr>
      </w:pPr>
      <w:r w:rsidRPr="001955B0">
        <w:rPr>
          <w:rFonts w:ascii="Corbel" w:eastAsia="Calibri" w:hAnsi="Corbel"/>
          <w:b/>
          <w:sz w:val="20"/>
          <w:szCs w:val="20"/>
          <w:lang w:eastAsia="en-US"/>
        </w:rPr>
        <w:t>Working with Government and other Agencies</w:t>
      </w:r>
      <w:r w:rsidRPr="001955B0">
        <w:rPr>
          <w:rFonts w:ascii="Corbel" w:eastAsia="Calibri" w:hAnsi="Corbel"/>
          <w:sz w:val="22"/>
          <w:szCs w:val="20"/>
          <w:lang w:eastAsia="en-US"/>
        </w:rPr>
        <w:t xml:space="preserve"> </w:t>
      </w:r>
      <w:r w:rsidRPr="001955B0">
        <w:rPr>
          <w:rFonts w:ascii="Corbel" w:eastAsia="Calibri" w:hAnsi="Corbel"/>
          <w:sz w:val="20"/>
          <w:szCs w:val="20"/>
          <w:lang w:eastAsia="en-US"/>
        </w:rPr>
        <w:t xml:space="preserve">– We will continue discussions with Scottish Government and Agencies, the Improvement Service, </w:t>
      </w:r>
      <w:proofErr w:type="spellStart"/>
      <w:r w:rsidRPr="001955B0">
        <w:rPr>
          <w:rFonts w:ascii="Corbel" w:eastAsia="Calibri" w:hAnsi="Corbel"/>
          <w:sz w:val="20"/>
          <w:szCs w:val="20"/>
          <w:lang w:eastAsia="en-US"/>
        </w:rPr>
        <w:t>CoSLA</w:t>
      </w:r>
      <w:proofErr w:type="spellEnd"/>
      <w:r w:rsidRPr="001955B0">
        <w:rPr>
          <w:rFonts w:ascii="Corbel" w:eastAsia="Calibri" w:hAnsi="Corbel"/>
          <w:sz w:val="20"/>
          <w:szCs w:val="20"/>
          <w:lang w:eastAsia="en-US"/>
        </w:rPr>
        <w:t>, SOLACE and SSN.</w:t>
      </w:r>
    </w:p>
    <w:p w:rsidR="001955B0" w:rsidRPr="001955B0" w:rsidRDefault="001955B0" w:rsidP="001955B0">
      <w:pPr>
        <w:numPr>
          <w:ilvl w:val="0"/>
          <w:numId w:val="1"/>
        </w:numPr>
        <w:spacing w:after="200" w:line="276" w:lineRule="auto"/>
        <w:jc w:val="both"/>
        <w:rPr>
          <w:rFonts w:ascii="Corbel" w:eastAsia="Calibri" w:hAnsi="Corbel"/>
          <w:sz w:val="20"/>
          <w:szCs w:val="20"/>
          <w:lang w:eastAsia="en-US"/>
        </w:rPr>
      </w:pPr>
      <w:r w:rsidRPr="001955B0">
        <w:rPr>
          <w:rFonts w:ascii="Corbel" w:eastAsia="Calibri" w:hAnsi="Corbel"/>
          <w:b/>
          <w:sz w:val="20"/>
          <w:szCs w:val="20"/>
          <w:lang w:eastAsia="en-US"/>
        </w:rPr>
        <w:t>Monitoring Performance</w:t>
      </w:r>
      <w:r w:rsidRPr="001955B0">
        <w:rPr>
          <w:rFonts w:ascii="Corbel" w:eastAsia="Calibri" w:hAnsi="Corbel"/>
          <w:sz w:val="20"/>
          <w:szCs w:val="20"/>
          <w:lang w:eastAsia="en-US"/>
        </w:rPr>
        <w:t xml:space="preserve"> – We are seeking ways to create a unified list of the legal powers and duties of the Councils for the environment and sustainable development and will look to ensure that a proper system of monitoring performance and delivery is put in place as the National Performance Framework is reviewed and taken forward from </w:t>
      </w:r>
      <w:proofErr w:type="gramStart"/>
      <w:r w:rsidRPr="001955B0">
        <w:rPr>
          <w:rFonts w:ascii="Corbel" w:eastAsia="Calibri" w:hAnsi="Corbel"/>
          <w:sz w:val="20"/>
          <w:szCs w:val="20"/>
          <w:lang w:eastAsia="en-US"/>
        </w:rPr>
        <w:t>Summer</w:t>
      </w:r>
      <w:proofErr w:type="gramEnd"/>
      <w:r w:rsidRPr="001955B0">
        <w:rPr>
          <w:rFonts w:ascii="Corbel" w:eastAsia="Calibri" w:hAnsi="Corbel"/>
          <w:sz w:val="20"/>
          <w:szCs w:val="20"/>
          <w:lang w:eastAsia="en-US"/>
        </w:rPr>
        <w:t xml:space="preserve"> 2011.</w:t>
      </w:r>
    </w:p>
    <w:p w:rsidR="00B30571" w:rsidRDefault="00AB4209" w:rsidP="00AC2B2F">
      <w:pPr>
        <w:pStyle w:val="Footer"/>
        <w:jc w:val="center"/>
        <w:rPr>
          <w:rFonts w:ascii="Arial" w:hAnsi="Arial" w:cs="Arial"/>
          <w:b/>
        </w:rPr>
      </w:pPr>
      <w:r w:rsidRPr="00B30571">
        <w:rPr>
          <w:rFonts w:ascii="Arial" w:hAnsi="Arial" w:cs="Arial"/>
          <w:b/>
        </w:rPr>
        <w:t xml:space="preserve">  </w:t>
      </w:r>
    </w:p>
    <w:p w:rsidR="00B30571" w:rsidRDefault="00B30571" w:rsidP="00AC2B2F">
      <w:pPr>
        <w:pStyle w:val="Footer"/>
        <w:jc w:val="center"/>
        <w:rPr>
          <w:rFonts w:ascii="Arial" w:hAnsi="Arial" w:cs="Arial"/>
          <w:b/>
        </w:rPr>
      </w:pPr>
    </w:p>
    <w:p w:rsidR="00B30571" w:rsidRDefault="00B30571" w:rsidP="00AC2B2F">
      <w:pPr>
        <w:pStyle w:val="Footer"/>
        <w:jc w:val="center"/>
        <w:rPr>
          <w:rFonts w:ascii="Arial" w:hAnsi="Arial" w:cs="Arial"/>
          <w:b/>
        </w:rPr>
      </w:pPr>
    </w:p>
    <w:p w:rsidR="00B30571" w:rsidRDefault="00B30571" w:rsidP="00AC2B2F">
      <w:pPr>
        <w:pStyle w:val="Footer"/>
        <w:jc w:val="center"/>
        <w:rPr>
          <w:rFonts w:ascii="Arial" w:hAnsi="Arial" w:cs="Arial"/>
          <w:b/>
        </w:rPr>
      </w:pPr>
    </w:p>
    <w:p w:rsidR="00B30571" w:rsidRDefault="00B30571" w:rsidP="00AC2B2F">
      <w:pPr>
        <w:pStyle w:val="Footer"/>
        <w:jc w:val="center"/>
        <w:rPr>
          <w:rFonts w:ascii="Arial" w:hAnsi="Arial" w:cs="Arial"/>
          <w:b/>
        </w:rPr>
      </w:pPr>
    </w:p>
    <w:p w:rsidR="00B30571" w:rsidRDefault="00B30571" w:rsidP="00AC2B2F">
      <w:pPr>
        <w:pStyle w:val="Footer"/>
        <w:jc w:val="center"/>
        <w:rPr>
          <w:rFonts w:ascii="Arial" w:hAnsi="Arial" w:cs="Arial"/>
          <w:b/>
        </w:rPr>
      </w:pPr>
    </w:p>
    <w:p w:rsidR="00B30571" w:rsidRDefault="00B30571" w:rsidP="00AC2B2F">
      <w:pPr>
        <w:pStyle w:val="Footer"/>
        <w:jc w:val="center"/>
        <w:rPr>
          <w:rFonts w:ascii="Arial" w:hAnsi="Arial" w:cs="Arial"/>
          <w:b/>
        </w:rPr>
      </w:pPr>
    </w:p>
    <w:p w:rsidR="00B30571" w:rsidRDefault="00B30571" w:rsidP="00AC2B2F">
      <w:pPr>
        <w:pStyle w:val="Footer"/>
        <w:jc w:val="center"/>
        <w:rPr>
          <w:rFonts w:ascii="Arial" w:hAnsi="Arial" w:cs="Arial"/>
          <w:b/>
        </w:rPr>
      </w:pPr>
    </w:p>
    <w:p w:rsidR="00B30571" w:rsidRDefault="00B30571" w:rsidP="00AC2B2F">
      <w:pPr>
        <w:pStyle w:val="Footer"/>
        <w:jc w:val="center"/>
        <w:rPr>
          <w:rFonts w:ascii="Arial" w:hAnsi="Arial" w:cs="Arial"/>
          <w:b/>
        </w:rPr>
      </w:pPr>
    </w:p>
    <w:p w:rsidR="00B30571" w:rsidRDefault="00B30571" w:rsidP="001955B0">
      <w:pPr>
        <w:pStyle w:val="Footer"/>
        <w:rPr>
          <w:b/>
        </w:rPr>
      </w:pPr>
    </w:p>
    <w:p w:rsidR="00AC2B2F" w:rsidRPr="001955B0" w:rsidRDefault="00AC2B2F" w:rsidP="00AC2B2F">
      <w:pPr>
        <w:pStyle w:val="Footer"/>
        <w:jc w:val="center"/>
        <w:rPr>
          <w:rFonts w:ascii="Arial Black" w:hAnsi="Arial Black"/>
          <w:b/>
        </w:rPr>
      </w:pPr>
      <w:r w:rsidRPr="001955B0">
        <w:rPr>
          <w:rFonts w:ascii="Arial Black" w:hAnsi="Arial Black"/>
          <w:b/>
        </w:rPr>
        <w:t>For more information contact</w:t>
      </w:r>
      <w:r w:rsidR="00B30571" w:rsidRPr="001955B0">
        <w:rPr>
          <w:rFonts w:ascii="Arial Black" w:hAnsi="Arial Black"/>
          <w:b/>
        </w:rPr>
        <w:t>:</w:t>
      </w:r>
    </w:p>
    <w:p w:rsidR="00AC2B2F" w:rsidRPr="001955B0" w:rsidRDefault="00AC2B2F" w:rsidP="00AC2B2F">
      <w:pPr>
        <w:pStyle w:val="Footer"/>
        <w:jc w:val="center"/>
        <w:rPr>
          <w:rFonts w:ascii="Arial Black" w:hAnsi="Arial Black"/>
        </w:rPr>
      </w:pPr>
    </w:p>
    <w:p w:rsidR="00AC2B2F" w:rsidRPr="001955B0" w:rsidRDefault="00AC2B2F" w:rsidP="00AC2B2F">
      <w:pPr>
        <w:pStyle w:val="Footer"/>
        <w:jc w:val="center"/>
        <w:rPr>
          <w:rFonts w:ascii="Arial" w:hAnsi="Arial" w:cs="Arial"/>
        </w:rPr>
      </w:pPr>
      <w:r w:rsidRPr="001955B0">
        <w:rPr>
          <w:rFonts w:ascii="Arial" w:hAnsi="Arial" w:cs="Arial"/>
        </w:rPr>
        <w:t xml:space="preserve">LINK Parliamentary Officer, </w:t>
      </w:r>
      <w:r w:rsidR="001955B0" w:rsidRPr="001955B0">
        <w:rPr>
          <w:rFonts w:ascii="Arial" w:hAnsi="Arial" w:cs="Arial"/>
        </w:rPr>
        <w:t>Andy Myles</w:t>
      </w:r>
      <w:r w:rsidRPr="001955B0">
        <w:rPr>
          <w:rFonts w:ascii="Arial" w:hAnsi="Arial" w:cs="Arial"/>
        </w:rPr>
        <w:t xml:space="preserve"> </w:t>
      </w:r>
    </w:p>
    <w:p w:rsidR="00AC2B2F" w:rsidRPr="001955B0" w:rsidRDefault="00AC2B2F" w:rsidP="00AC2B2F">
      <w:pPr>
        <w:pStyle w:val="Footer"/>
        <w:jc w:val="center"/>
        <w:rPr>
          <w:rFonts w:ascii="Arial" w:hAnsi="Arial" w:cs="Arial"/>
        </w:rPr>
      </w:pPr>
      <w:proofErr w:type="gramStart"/>
      <w:r w:rsidRPr="001955B0">
        <w:rPr>
          <w:rFonts w:ascii="Arial" w:hAnsi="Arial" w:cs="Arial"/>
        </w:rPr>
        <w:t>on</w:t>
      </w:r>
      <w:proofErr w:type="gramEnd"/>
      <w:r w:rsidRPr="001955B0">
        <w:rPr>
          <w:rFonts w:ascii="Arial" w:hAnsi="Arial" w:cs="Arial"/>
        </w:rPr>
        <w:t xml:space="preserve"> 0131 225 4345 or via email on  </w:t>
      </w:r>
      <w:hyperlink r:id="rId9" w:history="1">
        <w:r w:rsidR="001955B0" w:rsidRPr="00D01374">
          <w:rPr>
            <w:rStyle w:val="Hyperlink"/>
            <w:rFonts w:ascii="Arial" w:hAnsi="Arial" w:cs="Arial"/>
          </w:rPr>
          <w:t>andy@scotlink.org</w:t>
        </w:r>
      </w:hyperlink>
    </w:p>
    <w:p w:rsidR="00D13931" w:rsidRPr="001955B0" w:rsidRDefault="00D13931">
      <w:pPr>
        <w:rPr>
          <w:rFonts w:ascii="Arial" w:hAnsi="Arial" w:cs="Arial"/>
        </w:rPr>
      </w:pPr>
    </w:p>
    <w:p w:rsidR="00AC2B2F" w:rsidRPr="001955B0" w:rsidRDefault="00AC2B2F" w:rsidP="00AC2B2F">
      <w:pPr>
        <w:jc w:val="center"/>
        <w:rPr>
          <w:rFonts w:ascii="Arial" w:hAnsi="Arial" w:cs="Arial"/>
          <w:sz w:val="20"/>
          <w:szCs w:val="20"/>
        </w:rPr>
      </w:pPr>
      <w:r w:rsidRPr="001955B0">
        <w:rPr>
          <w:rFonts w:ascii="Arial" w:hAnsi="Arial" w:cs="Arial"/>
          <w:sz w:val="20"/>
          <w:szCs w:val="20"/>
        </w:rPr>
        <w:t xml:space="preserve">Scottish Environment LINK is a network of over 30 organisations working together for the </w:t>
      </w:r>
      <w:r w:rsidR="001955B0" w:rsidRPr="001955B0">
        <w:rPr>
          <w:rFonts w:ascii="Arial" w:hAnsi="Arial" w:cs="Arial"/>
          <w:sz w:val="20"/>
          <w:szCs w:val="20"/>
        </w:rPr>
        <w:t>well-being</w:t>
      </w:r>
      <w:r w:rsidRPr="001955B0">
        <w:rPr>
          <w:rFonts w:ascii="Arial" w:hAnsi="Arial" w:cs="Arial"/>
          <w:sz w:val="20"/>
          <w:szCs w:val="20"/>
        </w:rPr>
        <w:t xml:space="preserve"> of Scotland’s natural and </w:t>
      </w:r>
      <w:r w:rsidR="001955B0" w:rsidRPr="001955B0">
        <w:rPr>
          <w:rFonts w:ascii="Arial" w:hAnsi="Arial" w:cs="Arial"/>
          <w:sz w:val="20"/>
          <w:szCs w:val="20"/>
        </w:rPr>
        <w:t>cultural</w:t>
      </w:r>
      <w:r w:rsidRPr="001955B0">
        <w:rPr>
          <w:rFonts w:ascii="Arial" w:hAnsi="Arial" w:cs="Arial"/>
          <w:sz w:val="20"/>
          <w:szCs w:val="20"/>
        </w:rPr>
        <w:t xml:space="preserve"> environment.</w:t>
      </w:r>
    </w:p>
    <w:p w:rsidR="00B30571" w:rsidRPr="001955B0" w:rsidRDefault="00B30571">
      <w:pPr>
        <w:rPr>
          <w:rFonts w:ascii="Arial Black" w:hAnsi="Arial Black"/>
        </w:rPr>
      </w:pPr>
    </w:p>
    <w:sectPr w:rsidR="00B30571" w:rsidRPr="001955B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12" w:rsidRDefault="004F2512">
      <w:r>
        <w:separator/>
      </w:r>
    </w:p>
  </w:endnote>
  <w:endnote w:type="continuationSeparator" w:id="0">
    <w:p w:rsidR="004F2512" w:rsidRDefault="004F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AB" w:rsidRDefault="000B5A60" w:rsidP="00AB4209">
    <w:pPr>
      <w:pStyle w:val="Footer"/>
      <w:jc w:val="right"/>
    </w:pPr>
    <w:r>
      <w:t xml:space="preserve">   </w:t>
    </w:r>
    <w:r w:rsidR="003305E5">
      <w:rPr>
        <w:noProof/>
      </w:rPr>
      <w:drawing>
        <wp:inline distT="0" distB="0" distL="0" distR="0">
          <wp:extent cx="1162050" cy="1028700"/>
          <wp:effectExtent l="0" t="0" r="0" b="0"/>
          <wp:docPr id="2" name="Picture 2" descr="L K 2 Op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K 2 Op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028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12" w:rsidRDefault="004F2512">
      <w:r>
        <w:separator/>
      </w:r>
    </w:p>
  </w:footnote>
  <w:footnote w:type="continuationSeparator" w:id="0">
    <w:p w:rsidR="004F2512" w:rsidRDefault="004F2512">
      <w:r>
        <w:continuationSeparator/>
      </w:r>
    </w:p>
  </w:footnote>
  <w:footnote w:id="1">
    <w:p w:rsidR="001955B0" w:rsidRDefault="001955B0" w:rsidP="001955B0">
      <w:pPr>
        <w:pStyle w:val="FootnoteText"/>
        <w:spacing w:after="0"/>
      </w:pPr>
      <w:r>
        <w:rPr>
          <w:rStyle w:val="FootnoteReference"/>
        </w:rPr>
        <w:footnoteRef/>
      </w:r>
      <w:r>
        <w:t xml:space="preserve"> </w:t>
      </w:r>
      <w:hyperlink r:id="rId1" w:history="1">
        <w:r w:rsidRPr="00871A50">
          <w:rPr>
            <w:rStyle w:val="Hyperlink"/>
            <w:rFonts w:ascii="Corbel" w:eastAsia="Times New Roman" w:hAnsi="Corbel"/>
            <w:lang w:eastAsia="en-GB"/>
          </w:rPr>
          <w:t>http://www.scotlink.org/files/publication/LINKReports/SOAreportJanuary2010.pdf</w:t>
        </w:r>
      </w:hyperlink>
    </w:p>
  </w:footnote>
  <w:footnote w:id="2">
    <w:p w:rsidR="001955B0" w:rsidRDefault="001955B0" w:rsidP="001955B0">
      <w:pPr>
        <w:pStyle w:val="FootnoteText"/>
        <w:spacing w:after="0"/>
      </w:pPr>
      <w:r>
        <w:rPr>
          <w:rStyle w:val="FootnoteReference"/>
        </w:rPr>
        <w:footnoteRef/>
      </w:r>
      <w:r>
        <w:t xml:space="preserve"> </w:t>
      </w:r>
      <w:hyperlink r:id="rId2" w:history="1">
        <w:r w:rsidRPr="00026AFD">
          <w:rPr>
            <w:rStyle w:val="Hyperlink"/>
            <w:rFonts w:ascii="Corbel" w:eastAsia="Times New Roman" w:hAnsi="Corbel"/>
            <w:lang w:eastAsia="en-GB"/>
          </w:rPr>
          <w:t>http://www.scotlink.org/files/publication/LINKReports/LINKsoaReportAudit2011.pdf</w:t>
        </w:r>
      </w:hyperlink>
    </w:p>
  </w:footnote>
  <w:footnote w:id="3">
    <w:p w:rsidR="001955B0" w:rsidRDefault="001955B0" w:rsidP="001955B0">
      <w:pPr>
        <w:pStyle w:val="FootnoteText"/>
        <w:spacing w:after="0"/>
      </w:pPr>
      <w:r>
        <w:rPr>
          <w:rStyle w:val="FootnoteReference"/>
        </w:rPr>
        <w:footnoteRef/>
      </w:r>
      <w:r>
        <w:t xml:space="preserve"> </w:t>
      </w:r>
      <w:hyperlink r:id="rId3" w:history="1">
        <w:r w:rsidRPr="00026AFD">
          <w:rPr>
            <w:rStyle w:val="Hyperlink"/>
            <w:rFonts w:ascii="Corbel" w:eastAsia="Times New Roman" w:hAnsi="Corbel"/>
            <w:lang w:eastAsia="en-GB"/>
          </w:rPr>
          <w:t>http://www.scotlink.org/files/policy/PositionPapers/LINKSOAseminarMar11.pdf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AD3"/>
    <w:multiLevelType w:val="hybridMultilevel"/>
    <w:tmpl w:val="A854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4513D1"/>
    <w:multiLevelType w:val="hybridMultilevel"/>
    <w:tmpl w:val="109E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E5"/>
    <w:rsid w:val="000005A6"/>
    <w:rsid w:val="00003AEF"/>
    <w:rsid w:val="00055DAD"/>
    <w:rsid w:val="00084DCB"/>
    <w:rsid w:val="00087819"/>
    <w:rsid w:val="000B5A60"/>
    <w:rsid w:val="00151E83"/>
    <w:rsid w:val="001955B0"/>
    <w:rsid w:val="0020008C"/>
    <w:rsid w:val="00264B9B"/>
    <w:rsid w:val="002D0075"/>
    <w:rsid w:val="002E17DF"/>
    <w:rsid w:val="00314BAA"/>
    <w:rsid w:val="003305E5"/>
    <w:rsid w:val="00342EEF"/>
    <w:rsid w:val="00380621"/>
    <w:rsid w:val="0038127D"/>
    <w:rsid w:val="00396733"/>
    <w:rsid w:val="003D0298"/>
    <w:rsid w:val="003E56F0"/>
    <w:rsid w:val="00406D02"/>
    <w:rsid w:val="004214FB"/>
    <w:rsid w:val="00441F10"/>
    <w:rsid w:val="004429AB"/>
    <w:rsid w:val="00442EAB"/>
    <w:rsid w:val="00462ACE"/>
    <w:rsid w:val="00473BD5"/>
    <w:rsid w:val="004768B0"/>
    <w:rsid w:val="004868B3"/>
    <w:rsid w:val="004A510C"/>
    <w:rsid w:val="004A5749"/>
    <w:rsid w:val="004A7EC4"/>
    <w:rsid w:val="004B52EA"/>
    <w:rsid w:val="004F21B4"/>
    <w:rsid w:val="004F23D2"/>
    <w:rsid w:val="004F2512"/>
    <w:rsid w:val="004F551B"/>
    <w:rsid w:val="00535202"/>
    <w:rsid w:val="005353D9"/>
    <w:rsid w:val="005908DA"/>
    <w:rsid w:val="005B1D38"/>
    <w:rsid w:val="005B5B84"/>
    <w:rsid w:val="005D3249"/>
    <w:rsid w:val="005E4212"/>
    <w:rsid w:val="00614F94"/>
    <w:rsid w:val="006803D0"/>
    <w:rsid w:val="006D2410"/>
    <w:rsid w:val="00700BC8"/>
    <w:rsid w:val="00703AA7"/>
    <w:rsid w:val="0072520C"/>
    <w:rsid w:val="008102B6"/>
    <w:rsid w:val="00835565"/>
    <w:rsid w:val="008A5AF6"/>
    <w:rsid w:val="008C12B9"/>
    <w:rsid w:val="00992D97"/>
    <w:rsid w:val="009B4CFF"/>
    <w:rsid w:val="009F4960"/>
    <w:rsid w:val="00A207BA"/>
    <w:rsid w:val="00AB4209"/>
    <w:rsid w:val="00AC2B2F"/>
    <w:rsid w:val="00AF2A92"/>
    <w:rsid w:val="00AF60A1"/>
    <w:rsid w:val="00B13E1E"/>
    <w:rsid w:val="00B154C8"/>
    <w:rsid w:val="00B15730"/>
    <w:rsid w:val="00B30571"/>
    <w:rsid w:val="00B37F60"/>
    <w:rsid w:val="00B43F9D"/>
    <w:rsid w:val="00B66B34"/>
    <w:rsid w:val="00B67D2B"/>
    <w:rsid w:val="00C2412E"/>
    <w:rsid w:val="00C85224"/>
    <w:rsid w:val="00C91197"/>
    <w:rsid w:val="00D01785"/>
    <w:rsid w:val="00D02F16"/>
    <w:rsid w:val="00D13931"/>
    <w:rsid w:val="00D6010C"/>
    <w:rsid w:val="00D73CAC"/>
    <w:rsid w:val="00E136D6"/>
    <w:rsid w:val="00E1563C"/>
    <w:rsid w:val="00E567CB"/>
    <w:rsid w:val="00E64EB0"/>
    <w:rsid w:val="00EB1C83"/>
    <w:rsid w:val="00EE25A5"/>
    <w:rsid w:val="00F415B5"/>
    <w:rsid w:val="00F46DBE"/>
    <w:rsid w:val="00F62D46"/>
    <w:rsid w:val="00F70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B4209"/>
    <w:pPr>
      <w:tabs>
        <w:tab w:val="center" w:pos="4153"/>
        <w:tab w:val="right" w:pos="8306"/>
      </w:tabs>
    </w:pPr>
  </w:style>
  <w:style w:type="paragraph" w:styleId="Footer">
    <w:name w:val="footer"/>
    <w:basedOn w:val="Normal"/>
    <w:rsid w:val="00AB4209"/>
    <w:pPr>
      <w:tabs>
        <w:tab w:val="center" w:pos="4153"/>
        <w:tab w:val="right" w:pos="8306"/>
      </w:tabs>
    </w:pPr>
  </w:style>
  <w:style w:type="character" w:styleId="Hyperlink">
    <w:name w:val="Hyperlink"/>
    <w:basedOn w:val="DefaultParagraphFont"/>
    <w:rsid w:val="00AB4209"/>
    <w:rPr>
      <w:color w:val="0000FF"/>
      <w:u w:val="single"/>
    </w:rPr>
  </w:style>
  <w:style w:type="paragraph" w:styleId="BalloonText">
    <w:name w:val="Balloon Text"/>
    <w:basedOn w:val="Normal"/>
    <w:link w:val="BalloonTextChar"/>
    <w:uiPriority w:val="99"/>
    <w:semiHidden/>
    <w:unhideWhenUsed/>
    <w:rsid w:val="001955B0"/>
    <w:rPr>
      <w:rFonts w:ascii="Tahoma" w:hAnsi="Tahoma" w:cs="Tahoma"/>
      <w:sz w:val="16"/>
      <w:szCs w:val="16"/>
    </w:rPr>
  </w:style>
  <w:style w:type="character" w:customStyle="1" w:styleId="BalloonTextChar">
    <w:name w:val="Balloon Text Char"/>
    <w:basedOn w:val="DefaultParagraphFont"/>
    <w:link w:val="BalloonText"/>
    <w:uiPriority w:val="99"/>
    <w:semiHidden/>
    <w:rsid w:val="001955B0"/>
    <w:rPr>
      <w:rFonts w:ascii="Tahoma" w:hAnsi="Tahoma" w:cs="Tahoma"/>
      <w:sz w:val="16"/>
      <w:szCs w:val="16"/>
    </w:rPr>
  </w:style>
  <w:style w:type="paragraph" w:styleId="FootnoteText">
    <w:name w:val="footnote text"/>
    <w:basedOn w:val="Normal"/>
    <w:link w:val="FootnoteTextChar"/>
    <w:uiPriority w:val="99"/>
    <w:semiHidden/>
    <w:unhideWhenUsed/>
    <w:rsid w:val="001955B0"/>
    <w:pPr>
      <w:spacing w:after="200" w:line="276" w:lineRule="auto"/>
    </w:pPr>
    <w:rPr>
      <w:rFonts w:ascii="Verdana" w:eastAsia="Calibri" w:hAnsi="Verdana"/>
      <w:sz w:val="20"/>
      <w:szCs w:val="20"/>
      <w:lang w:eastAsia="en-US"/>
    </w:rPr>
  </w:style>
  <w:style w:type="character" w:customStyle="1" w:styleId="FootnoteTextChar">
    <w:name w:val="Footnote Text Char"/>
    <w:basedOn w:val="DefaultParagraphFont"/>
    <w:link w:val="FootnoteText"/>
    <w:uiPriority w:val="99"/>
    <w:semiHidden/>
    <w:rsid w:val="001955B0"/>
    <w:rPr>
      <w:rFonts w:ascii="Verdana" w:eastAsia="Calibri" w:hAnsi="Verdana"/>
      <w:lang w:eastAsia="en-US"/>
    </w:rPr>
  </w:style>
  <w:style w:type="character" w:styleId="FootnoteReference">
    <w:name w:val="footnote reference"/>
    <w:uiPriority w:val="99"/>
    <w:semiHidden/>
    <w:unhideWhenUsed/>
    <w:rsid w:val="00195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B4209"/>
    <w:pPr>
      <w:tabs>
        <w:tab w:val="center" w:pos="4153"/>
        <w:tab w:val="right" w:pos="8306"/>
      </w:tabs>
    </w:pPr>
  </w:style>
  <w:style w:type="paragraph" w:styleId="Footer">
    <w:name w:val="footer"/>
    <w:basedOn w:val="Normal"/>
    <w:rsid w:val="00AB4209"/>
    <w:pPr>
      <w:tabs>
        <w:tab w:val="center" w:pos="4153"/>
        <w:tab w:val="right" w:pos="8306"/>
      </w:tabs>
    </w:pPr>
  </w:style>
  <w:style w:type="character" w:styleId="Hyperlink">
    <w:name w:val="Hyperlink"/>
    <w:basedOn w:val="DefaultParagraphFont"/>
    <w:rsid w:val="00AB4209"/>
    <w:rPr>
      <w:color w:val="0000FF"/>
      <w:u w:val="single"/>
    </w:rPr>
  </w:style>
  <w:style w:type="paragraph" w:styleId="BalloonText">
    <w:name w:val="Balloon Text"/>
    <w:basedOn w:val="Normal"/>
    <w:link w:val="BalloonTextChar"/>
    <w:uiPriority w:val="99"/>
    <w:semiHidden/>
    <w:unhideWhenUsed/>
    <w:rsid w:val="001955B0"/>
    <w:rPr>
      <w:rFonts w:ascii="Tahoma" w:hAnsi="Tahoma" w:cs="Tahoma"/>
      <w:sz w:val="16"/>
      <w:szCs w:val="16"/>
    </w:rPr>
  </w:style>
  <w:style w:type="character" w:customStyle="1" w:styleId="BalloonTextChar">
    <w:name w:val="Balloon Text Char"/>
    <w:basedOn w:val="DefaultParagraphFont"/>
    <w:link w:val="BalloonText"/>
    <w:uiPriority w:val="99"/>
    <w:semiHidden/>
    <w:rsid w:val="001955B0"/>
    <w:rPr>
      <w:rFonts w:ascii="Tahoma" w:hAnsi="Tahoma" w:cs="Tahoma"/>
      <w:sz w:val="16"/>
      <w:szCs w:val="16"/>
    </w:rPr>
  </w:style>
  <w:style w:type="paragraph" w:styleId="FootnoteText">
    <w:name w:val="footnote text"/>
    <w:basedOn w:val="Normal"/>
    <w:link w:val="FootnoteTextChar"/>
    <w:uiPriority w:val="99"/>
    <w:semiHidden/>
    <w:unhideWhenUsed/>
    <w:rsid w:val="001955B0"/>
    <w:pPr>
      <w:spacing w:after="200" w:line="276" w:lineRule="auto"/>
    </w:pPr>
    <w:rPr>
      <w:rFonts w:ascii="Verdana" w:eastAsia="Calibri" w:hAnsi="Verdana"/>
      <w:sz w:val="20"/>
      <w:szCs w:val="20"/>
      <w:lang w:eastAsia="en-US"/>
    </w:rPr>
  </w:style>
  <w:style w:type="character" w:customStyle="1" w:styleId="FootnoteTextChar">
    <w:name w:val="Footnote Text Char"/>
    <w:basedOn w:val="DefaultParagraphFont"/>
    <w:link w:val="FootnoteText"/>
    <w:uiPriority w:val="99"/>
    <w:semiHidden/>
    <w:rsid w:val="001955B0"/>
    <w:rPr>
      <w:rFonts w:ascii="Verdana" w:eastAsia="Calibri" w:hAnsi="Verdana"/>
      <w:lang w:eastAsia="en-US"/>
    </w:rPr>
  </w:style>
  <w:style w:type="character" w:styleId="FootnoteReference">
    <w:name w:val="footnote reference"/>
    <w:uiPriority w:val="99"/>
    <w:semiHidden/>
    <w:unhideWhenUsed/>
    <w:rsid w:val="00195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y@scotlin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scotlink.org/files/policy/PositionPapers/LINKSOAseminarMar11.pdf" TargetMode="External"/><Relationship Id="rId2" Type="http://schemas.openxmlformats.org/officeDocument/2006/relationships/hyperlink" Target="http://www.scotlink.org/files/publication/LINKReports/LINKsoaReportAudit2011.pdf" TargetMode="External"/><Relationship Id="rId1" Type="http://schemas.openxmlformats.org/officeDocument/2006/relationships/hyperlink" Target="http://www.scotlink.org/files/publication/LINKReports/SOAreportJanuary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2.1\Data\Scotlink%20Data\LINK%20Shared%20Documents\Parliamentary\Jess%20Pepper%20Archive\LINK%20Parl%20Service\LINK%20evidence\Parliamentary%20Brief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Parliamentary Briefing template</Template>
  <TotalTime>10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4602</CharactersWithSpaces>
  <SharedDoc>false</SharedDoc>
  <HLinks>
    <vt:vector size="6" baseType="variant">
      <vt:variant>
        <vt:i4>3211269</vt:i4>
      </vt:variant>
      <vt:variant>
        <vt:i4>0</vt:i4>
      </vt:variant>
      <vt:variant>
        <vt:i4>0</vt:i4>
      </vt:variant>
      <vt:variant>
        <vt:i4>5</vt:i4>
      </vt:variant>
      <vt:variant>
        <vt:lpwstr>mailto:jessica@scotlink.org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Guest</dc:creator>
  <cp:lastModifiedBy>Susan Guest</cp:lastModifiedBy>
  <cp:revision>8</cp:revision>
  <dcterms:created xsi:type="dcterms:W3CDTF">2011-07-14T16:04:00Z</dcterms:created>
  <dcterms:modified xsi:type="dcterms:W3CDTF">2011-07-14T16:14:00Z</dcterms:modified>
</cp:coreProperties>
</file>