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2BD54" w14:textId="46E0DEC1" w:rsidR="005C3448" w:rsidRPr="00B618D2" w:rsidRDefault="00160526" w:rsidP="005C3448">
      <w:pPr>
        <w:rPr>
          <w:i/>
        </w:rPr>
      </w:pPr>
      <w:r>
        <w:rPr>
          <w:i/>
          <w:iCs/>
        </w:rPr>
        <w:t xml:space="preserve">Groups </w:t>
      </w:r>
      <w:r w:rsidR="000F6965" w:rsidRPr="00B618D2">
        <w:rPr>
          <w:i/>
          <w:iCs/>
        </w:rPr>
        <w:t>are asked</w:t>
      </w:r>
      <w:r w:rsidR="001C54DC" w:rsidRPr="00B618D2">
        <w:rPr>
          <w:i/>
          <w:iCs/>
        </w:rPr>
        <w:t xml:space="preserve"> to report </w:t>
      </w:r>
      <w:r w:rsidR="00234F21" w:rsidRPr="00B618D2">
        <w:rPr>
          <w:i/>
          <w:iCs/>
        </w:rPr>
        <w:t>on a 6-</w:t>
      </w:r>
      <w:r w:rsidR="001C54DC" w:rsidRPr="00B618D2">
        <w:rPr>
          <w:i/>
          <w:iCs/>
        </w:rPr>
        <w:t xml:space="preserve">monthly </w:t>
      </w:r>
      <w:r w:rsidR="00234F21" w:rsidRPr="00B618D2">
        <w:rPr>
          <w:i/>
          <w:iCs/>
        </w:rPr>
        <w:t xml:space="preserve">basis. </w:t>
      </w:r>
      <w:r w:rsidR="00BC2366" w:rsidRPr="00B618D2">
        <w:rPr>
          <w:i/>
          <w:iCs/>
        </w:rPr>
        <w:t>Q</w:t>
      </w:r>
      <w:r w:rsidR="000F6965" w:rsidRPr="00B618D2">
        <w:rPr>
          <w:i/>
          <w:iCs/>
        </w:rPr>
        <w:t>uestions are about</w:t>
      </w:r>
      <w:r w:rsidR="009F4ADC" w:rsidRPr="00B618D2">
        <w:rPr>
          <w:i/>
          <w:iCs/>
        </w:rPr>
        <w:t xml:space="preserve"> outputs </w:t>
      </w:r>
      <w:r w:rsidR="00776F09">
        <w:rPr>
          <w:i/>
          <w:iCs/>
        </w:rPr>
        <w:t xml:space="preserve">(the products of your work) </w:t>
      </w:r>
      <w:r w:rsidR="009F4ADC" w:rsidRPr="00B618D2">
        <w:rPr>
          <w:i/>
          <w:iCs/>
        </w:rPr>
        <w:t>a</w:t>
      </w:r>
      <w:r w:rsidR="00234F21" w:rsidRPr="00B618D2">
        <w:rPr>
          <w:i/>
          <w:iCs/>
        </w:rPr>
        <w:t xml:space="preserve">s well as </w:t>
      </w:r>
      <w:r w:rsidR="000F6965" w:rsidRPr="00B618D2">
        <w:rPr>
          <w:i/>
          <w:iCs/>
        </w:rPr>
        <w:t>outcomes</w:t>
      </w:r>
      <w:r w:rsidR="00776F09">
        <w:rPr>
          <w:i/>
          <w:iCs/>
        </w:rPr>
        <w:t xml:space="preserve"> (the difference made by your work)</w:t>
      </w:r>
      <w:r w:rsidR="000F6965" w:rsidRPr="00B618D2">
        <w:rPr>
          <w:i/>
          <w:iCs/>
        </w:rPr>
        <w:t xml:space="preserve">, and we are grateful for your cooperation in capturing better information about the effect </w:t>
      </w:r>
      <w:r w:rsidR="00BC2366" w:rsidRPr="00B618D2">
        <w:rPr>
          <w:i/>
          <w:iCs/>
        </w:rPr>
        <w:t xml:space="preserve">of </w:t>
      </w:r>
      <w:r w:rsidR="000F6965" w:rsidRPr="00B618D2">
        <w:rPr>
          <w:i/>
          <w:iCs/>
        </w:rPr>
        <w:t xml:space="preserve">our joint efforts </w:t>
      </w:r>
      <w:r w:rsidR="00BC2366" w:rsidRPr="00B618D2">
        <w:rPr>
          <w:i/>
          <w:iCs/>
        </w:rPr>
        <w:t>in</w:t>
      </w:r>
      <w:r w:rsidR="000F6965" w:rsidRPr="00B618D2">
        <w:rPr>
          <w:i/>
          <w:iCs/>
        </w:rPr>
        <w:t xml:space="preserve"> bring</w:t>
      </w:r>
      <w:r w:rsidR="00BC2366" w:rsidRPr="00B618D2">
        <w:rPr>
          <w:i/>
          <w:iCs/>
        </w:rPr>
        <w:t>ing</w:t>
      </w:r>
      <w:r w:rsidR="000F6965" w:rsidRPr="00B618D2">
        <w:rPr>
          <w:i/>
          <w:iCs/>
        </w:rPr>
        <w:t xml:space="preserve"> a</w:t>
      </w:r>
      <w:r>
        <w:rPr>
          <w:i/>
          <w:iCs/>
        </w:rPr>
        <w:t>bout a sustainable Scotland.</w:t>
      </w:r>
      <w:r>
        <w:rPr>
          <w:i/>
        </w:rPr>
        <w:t xml:space="preserve"> The LINK Strategy from 2016-19 </w:t>
      </w:r>
      <w:r w:rsidR="005C3448" w:rsidRPr="00B618D2">
        <w:rPr>
          <w:i/>
        </w:rPr>
        <w:t>needs staff and TF</w:t>
      </w:r>
      <w:r w:rsidR="00B618D2" w:rsidRPr="00B618D2">
        <w:rPr>
          <w:i/>
        </w:rPr>
        <w:t>s</w:t>
      </w:r>
      <w:r w:rsidR="005C3448" w:rsidRPr="00B618D2">
        <w:rPr>
          <w:i/>
        </w:rPr>
        <w:t xml:space="preserve"> to follo</w:t>
      </w:r>
      <w:r>
        <w:rPr>
          <w:i/>
        </w:rPr>
        <w:t xml:space="preserve">w an outcomes focussed approach. It </w:t>
      </w:r>
      <w:r w:rsidR="005C3448" w:rsidRPr="00B618D2">
        <w:rPr>
          <w:i/>
        </w:rPr>
        <w:t>aims to involve all achieving and evidencing LINK</w:t>
      </w:r>
      <w:r w:rsidR="00B618D2" w:rsidRPr="00B618D2">
        <w:rPr>
          <w:i/>
        </w:rPr>
        <w:t>’s impact, to give</w:t>
      </w:r>
      <w:r w:rsidR="005C3448" w:rsidRPr="00B618D2">
        <w:rPr>
          <w:i/>
        </w:rPr>
        <w:t xml:space="preserve"> LINK and its </w:t>
      </w:r>
      <w:proofErr w:type="gramStart"/>
      <w:r w:rsidR="005C3448" w:rsidRPr="00B618D2">
        <w:rPr>
          <w:i/>
        </w:rPr>
        <w:t>stakeholders</w:t>
      </w:r>
      <w:proofErr w:type="gramEnd"/>
      <w:r w:rsidR="005C3448" w:rsidRPr="00B618D2">
        <w:rPr>
          <w:i/>
        </w:rPr>
        <w:t xml:space="preserve"> confidence that LINK makes a positive difference and provides consistent, reliable evidence to inform policy and practice.  </w:t>
      </w:r>
    </w:p>
    <w:p w14:paraId="3BD1BA23" w14:textId="78A6071E" w:rsidR="00520F2C" w:rsidRPr="00086A3C" w:rsidRDefault="00520F2C" w:rsidP="00BC2366">
      <w:pPr>
        <w:spacing w:after="0"/>
        <w:rPr>
          <w:i/>
          <w:iCs/>
        </w:rPr>
      </w:pPr>
      <w:r w:rsidRPr="00086A3C">
        <w:rPr>
          <w:i/>
          <w:iCs/>
        </w:rPr>
        <w:t xml:space="preserve">This information is collected for: </w:t>
      </w:r>
    </w:p>
    <w:p w14:paraId="3BD1BA24" w14:textId="7A42BC5C" w:rsidR="001C54DC" w:rsidRPr="00086A3C" w:rsidRDefault="001C54DC" w:rsidP="00520F2C">
      <w:pPr>
        <w:numPr>
          <w:ilvl w:val="0"/>
          <w:numId w:val="12"/>
        </w:numPr>
        <w:spacing w:after="0" w:line="240" w:lineRule="auto"/>
        <w:rPr>
          <w:i/>
          <w:iCs/>
        </w:rPr>
      </w:pPr>
      <w:r w:rsidRPr="00086A3C">
        <w:rPr>
          <w:i/>
          <w:iCs/>
        </w:rPr>
        <w:t>Reporting against LINK’s Key Performance Indicators of the Corporate Strategy</w:t>
      </w:r>
      <w:r w:rsidR="00160526">
        <w:rPr>
          <w:i/>
          <w:iCs/>
        </w:rPr>
        <w:t xml:space="preserve"> (provide </w:t>
      </w:r>
      <w:proofErr w:type="spellStart"/>
      <w:r w:rsidR="00160526">
        <w:rPr>
          <w:i/>
          <w:iCs/>
        </w:rPr>
        <w:t>weblinks</w:t>
      </w:r>
      <w:proofErr w:type="spellEnd"/>
      <w:r w:rsidR="00160526">
        <w:rPr>
          <w:i/>
          <w:iCs/>
        </w:rPr>
        <w:t>)</w:t>
      </w:r>
    </w:p>
    <w:p w14:paraId="3BD1BA25" w14:textId="5128E291" w:rsidR="001C54DC" w:rsidRDefault="001C54DC" w:rsidP="00520F2C">
      <w:pPr>
        <w:numPr>
          <w:ilvl w:val="0"/>
          <w:numId w:val="12"/>
        </w:numPr>
        <w:spacing w:after="0" w:line="240" w:lineRule="auto"/>
        <w:rPr>
          <w:i/>
          <w:iCs/>
        </w:rPr>
      </w:pPr>
      <w:r w:rsidRPr="00086A3C">
        <w:rPr>
          <w:i/>
          <w:iCs/>
        </w:rPr>
        <w:t>Updates for Boa</w:t>
      </w:r>
      <w:r w:rsidR="00160526">
        <w:rPr>
          <w:i/>
          <w:iCs/>
        </w:rPr>
        <w:t>rd and Network meetings on our Operating Plan and W</w:t>
      </w:r>
      <w:r w:rsidRPr="00086A3C">
        <w:rPr>
          <w:i/>
          <w:iCs/>
        </w:rPr>
        <w:t>ork Plan.</w:t>
      </w:r>
    </w:p>
    <w:p w14:paraId="4337DD12" w14:textId="53B89AD5" w:rsidR="00160526" w:rsidRPr="00086A3C" w:rsidRDefault="00160526" w:rsidP="00520F2C">
      <w:pPr>
        <w:numPr>
          <w:ilvl w:val="0"/>
          <w:numId w:val="12"/>
        </w:numPr>
        <w:spacing w:after="0" w:line="240" w:lineRule="auto"/>
        <w:rPr>
          <w:i/>
          <w:iCs/>
        </w:rPr>
      </w:pPr>
      <w:r>
        <w:rPr>
          <w:i/>
          <w:iCs/>
        </w:rPr>
        <w:t>Keeping track of member engagement.</w:t>
      </w:r>
    </w:p>
    <w:p w14:paraId="3BD1BA26" w14:textId="1117C575" w:rsidR="00520F2C" w:rsidRPr="00086A3C" w:rsidRDefault="00520F2C" w:rsidP="00520F2C">
      <w:pPr>
        <w:numPr>
          <w:ilvl w:val="0"/>
          <w:numId w:val="12"/>
        </w:numPr>
        <w:spacing w:after="0" w:line="240" w:lineRule="auto"/>
        <w:rPr>
          <w:i/>
          <w:iCs/>
        </w:rPr>
      </w:pPr>
      <w:r w:rsidRPr="00086A3C">
        <w:rPr>
          <w:i/>
          <w:iCs/>
        </w:rPr>
        <w:t xml:space="preserve">Reporting to our </w:t>
      </w:r>
      <w:r w:rsidR="001C54DC" w:rsidRPr="00086A3C">
        <w:rPr>
          <w:i/>
          <w:iCs/>
        </w:rPr>
        <w:t>funders,</w:t>
      </w:r>
      <w:r w:rsidR="000F6965" w:rsidRPr="00086A3C">
        <w:rPr>
          <w:i/>
          <w:iCs/>
        </w:rPr>
        <w:t xml:space="preserve"> the wider membership</w:t>
      </w:r>
      <w:r w:rsidR="001C54DC" w:rsidRPr="00086A3C">
        <w:rPr>
          <w:i/>
          <w:iCs/>
        </w:rPr>
        <w:t xml:space="preserve"> and external audiences</w:t>
      </w:r>
      <w:r w:rsidR="00160526">
        <w:rPr>
          <w:i/>
          <w:iCs/>
        </w:rPr>
        <w:t>.</w:t>
      </w:r>
      <w:r w:rsidRPr="00086A3C">
        <w:rPr>
          <w:i/>
          <w:iCs/>
        </w:rPr>
        <w:t xml:space="preserve"> </w:t>
      </w:r>
    </w:p>
    <w:p w14:paraId="3BD1BA27" w14:textId="2EF1E62B" w:rsidR="00520F2C" w:rsidRPr="00086A3C" w:rsidRDefault="00160526" w:rsidP="00520F2C">
      <w:pPr>
        <w:numPr>
          <w:ilvl w:val="0"/>
          <w:numId w:val="12"/>
        </w:numPr>
        <w:spacing w:after="0" w:line="240" w:lineRule="auto"/>
        <w:rPr>
          <w:i/>
          <w:iCs/>
        </w:rPr>
      </w:pPr>
      <w:r>
        <w:rPr>
          <w:i/>
          <w:iCs/>
        </w:rPr>
        <w:t>Accurate information on the website and filing</w:t>
      </w:r>
      <w:proofErr w:type="gramStart"/>
      <w:r>
        <w:rPr>
          <w:i/>
          <w:iCs/>
        </w:rPr>
        <w:t>.</w:t>
      </w:r>
      <w:r w:rsidR="007824D4">
        <w:rPr>
          <w:i/>
          <w:iCs/>
        </w:rPr>
        <w:t>.</w:t>
      </w:r>
      <w:proofErr w:type="gramEnd"/>
    </w:p>
    <w:p w14:paraId="2631740B" w14:textId="77777777" w:rsidR="00086A3C" w:rsidRDefault="00086A3C" w:rsidP="00520F2C">
      <w:pPr>
        <w:ind w:left="360" w:hanging="360"/>
        <w:rPr>
          <w:b/>
        </w:rPr>
      </w:pPr>
    </w:p>
    <w:p w14:paraId="3EE8EC4E" w14:textId="3CE478E2" w:rsidR="00A429C8" w:rsidRDefault="00A429C8" w:rsidP="00520F2C">
      <w:pPr>
        <w:ind w:left="360" w:hanging="360"/>
        <w:rPr>
          <w:b/>
        </w:rPr>
      </w:pPr>
      <w:r>
        <w:rPr>
          <w:b/>
        </w:rPr>
        <w:t xml:space="preserve">Section 1. </w:t>
      </w:r>
    </w:p>
    <w:p w14:paraId="3BD1BA2A" w14:textId="19EA35A2" w:rsidR="00520F2C" w:rsidRPr="00086A3C" w:rsidRDefault="00160526" w:rsidP="00520F2C">
      <w:pPr>
        <w:ind w:left="360" w:hanging="360"/>
      </w:pPr>
      <w:r>
        <w:rPr>
          <w:b/>
        </w:rPr>
        <w:t>1.  Name of Group</w:t>
      </w:r>
      <w:r w:rsidR="00520F2C" w:rsidRPr="00086A3C">
        <w:rPr>
          <w:b/>
        </w:rPr>
        <w:t xml:space="preserve">, Convenor </w:t>
      </w:r>
      <w:r w:rsidR="001C54DC" w:rsidRPr="00086A3C">
        <w:rPr>
          <w:b/>
        </w:rPr>
        <w:t>(</w:t>
      </w:r>
      <w:r w:rsidR="00086A3C">
        <w:rPr>
          <w:b/>
        </w:rPr>
        <w:t>&amp;</w:t>
      </w:r>
      <w:r>
        <w:rPr>
          <w:b/>
        </w:rPr>
        <w:t xml:space="preserve"> Vice-convenor</w:t>
      </w:r>
      <w:r w:rsidR="001C54DC" w:rsidRPr="00086A3C">
        <w:rPr>
          <w:b/>
        </w:rPr>
        <w:t>)</w:t>
      </w:r>
      <w:r w:rsidR="00520F2C" w:rsidRPr="00086A3C">
        <w:rPr>
          <w:b/>
        </w:rPr>
        <w:t xml:space="preserve"> and active contributing member bodies</w:t>
      </w:r>
      <w:r w:rsidR="00B618D2">
        <w:rPr>
          <w:b/>
        </w:rPr>
        <w:t xml:space="preserve"> (regularly contributing, not the whole email list</w:t>
      </w:r>
      <w:r w:rsidR="002F72AF" w:rsidRPr="00086A3C">
        <w:rPr>
          <w:b/>
        </w:rPr>
        <w:t>)</w:t>
      </w:r>
      <w:r w:rsidR="00520F2C" w:rsidRPr="00086A3C">
        <w:rPr>
          <w:b/>
        </w:rPr>
        <w:t xml:space="preserve">. </w:t>
      </w:r>
      <w:r w:rsidR="00520F2C" w:rsidRPr="00086A3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3"/>
      </w:tblGrid>
      <w:tr w:rsidR="00520F2C" w:rsidRPr="00086A3C" w14:paraId="3BD1BA2C" w14:textId="77777777" w:rsidTr="005C3448">
        <w:trPr>
          <w:trHeight w:val="881"/>
        </w:trPr>
        <w:tc>
          <w:tcPr>
            <w:tcW w:w="14283" w:type="dxa"/>
            <w:shd w:val="clear" w:color="auto" w:fill="auto"/>
          </w:tcPr>
          <w:p w14:paraId="3BD1BA2B" w14:textId="77777777" w:rsidR="00520F2C" w:rsidRPr="00086A3C" w:rsidRDefault="00520F2C" w:rsidP="00A9435C"/>
        </w:tc>
      </w:tr>
    </w:tbl>
    <w:p w14:paraId="3BD1BA2D" w14:textId="77777777" w:rsidR="00520F2C" w:rsidRPr="00086A3C" w:rsidRDefault="00520F2C" w:rsidP="00520F2C">
      <w:pPr>
        <w:rPr>
          <w:b/>
        </w:rPr>
      </w:pPr>
    </w:p>
    <w:p w14:paraId="3BD1BA2E" w14:textId="75868344" w:rsidR="00520F2C" w:rsidRPr="00086A3C" w:rsidRDefault="00520F2C" w:rsidP="00520F2C">
      <w:pPr>
        <w:rPr>
          <w:b/>
        </w:rPr>
      </w:pPr>
      <w:r w:rsidRPr="00086A3C">
        <w:rPr>
          <w:b/>
        </w:rPr>
        <w:t>2.   Ov</w:t>
      </w:r>
      <w:r w:rsidR="00160526">
        <w:rPr>
          <w:b/>
        </w:rPr>
        <w:t>erview of Group</w:t>
      </w:r>
      <w:r w:rsidR="00086A3C">
        <w:rPr>
          <w:b/>
        </w:rPr>
        <w:t xml:space="preserve"> </w:t>
      </w:r>
      <w:r w:rsidR="00086A3C" w:rsidRPr="00776F09">
        <w:rPr>
          <w:b/>
          <w:i/>
        </w:rPr>
        <w:t>activity</w:t>
      </w:r>
      <w:r w:rsidR="00086A3C">
        <w:rPr>
          <w:b/>
        </w:rPr>
        <w:t xml:space="preserve"> and</w:t>
      </w:r>
      <w:r w:rsidRPr="00086A3C">
        <w:rPr>
          <w:b/>
        </w:rPr>
        <w:t xml:space="preserve"> progress of </w:t>
      </w:r>
      <w:r w:rsidRPr="00776F09">
        <w:rPr>
          <w:b/>
          <w:i/>
        </w:rPr>
        <w:t>tasks</w:t>
      </w:r>
      <w:r w:rsidRPr="00086A3C">
        <w:rPr>
          <w:b/>
        </w:rPr>
        <w:t xml:space="preserve"> </w:t>
      </w:r>
      <w:r w:rsidR="002F72AF" w:rsidRPr="00086A3C">
        <w:rPr>
          <w:b/>
        </w:rPr>
        <w:t xml:space="preserve">outlined in </w:t>
      </w:r>
      <w:r w:rsidR="00160526">
        <w:rPr>
          <w:b/>
        </w:rPr>
        <w:t xml:space="preserve">Work </w:t>
      </w:r>
      <w:r w:rsidR="00086A3C">
        <w:rPr>
          <w:b/>
        </w:rPr>
        <w:t>P</w:t>
      </w:r>
      <w:r w:rsidR="006353F1">
        <w:rPr>
          <w:b/>
        </w:rPr>
        <w:t>lan</w:t>
      </w:r>
      <w:r w:rsidR="007824D4">
        <w:rPr>
          <w:b/>
        </w:rPr>
        <w:t xml:space="preserve"> (</w:t>
      </w:r>
      <w:proofErr w:type="spellStart"/>
      <w:r w:rsidR="007824D4">
        <w:rPr>
          <w:b/>
        </w:rPr>
        <w:t>weblink</w:t>
      </w:r>
      <w:proofErr w:type="spellEnd"/>
      <w:r w:rsidR="007824D4">
        <w:rPr>
          <w:b/>
        </w:rPr>
        <w:t>)</w:t>
      </w:r>
      <w:r w:rsidR="006353F1">
        <w:rPr>
          <w:b/>
        </w:rPr>
        <w:t xml:space="preserve"> – </w:t>
      </w:r>
      <w:proofErr w:type="gramStart"/>
      <w:r w:rsidR="006353F1">
        <w:rPr>
          <w:b/>
        </w:rPr>
        <w:t>your</w:t>
      </w:r>
      <w:proofErr w:type="gramEnd"/>
      <w:r w:rsidR="006353F1">
        <w:rPr>
          <w:b/>
        </w:rPr>
        <w:t xml:space="preserve"> summary please </w:t>
      </w:r>
      <w:r w:rsidR="00160526">
        <w:rPr>
          <w:b/>
        </w:rPr>
        <w:t xml:space="preserve">for the </w:t>
      </w:r>
      <w:r w:rsidR="00B618D2">
        <w:rPr>
          <w:b/>
        </w:rPr>
        <w:t xml:space="preserve">work plan progress update. </w:t>
      </w:r>
      <w:r w:rsidRPr="00086A3C">
        <w:rPr>
          <w:b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3"/>
      </w:tblGrid>
      <w:tr w:rsidR="00520F2C" w:rsidRPr="00086A3C" w14:paraId="3BD1BA32" w14:textId="77777777" w:rsidTr="005C3448">
        <w:trPr>
          <w:trHeight w:val="77"/>
        </w:trPr>
        <w:tc>
          <w:tcPr>
            <w:tcW w:w="14283" w:type="dxa"/>
            <w:shd w:val="clear" w:color="auto" w:fill="auto"/>
          </w:tcPr>
          <w:p w14:paraId="3BD1BA2F" w14:textId="77777777" w:rsidR="00520F2C" w:rsidRPr="00086A3C" w:rsidRDefault="00520F2C" w:rsidP="0040575D">
            <w:pPr>
              <w:rPr>
                <w:b/>
              </w:rPr>
            </w:pPr>
          </w:p>
          <w:p w14:paraId="3BD1BA30" w14:textId="77777777" w:rsidR="00234F21" w:rsidRPr="00086A3C" w:rsidRDefault="00234F21" w:rsidP="0040575D">
            <w:pPr>
              <w:rPr>
                <w:b/>
              </w:rPr>
            </w:pPr>
          </w:p>
          <w:p w14:paraId="3BD1BA31" w14:textId="77777777" w:rsidR="00520F2C" w:rsidRPr="00086A3C" w:rsidRDefault="00520F2C" w:rsidP="0040575D">
            <w:pPr>
              <w:rPr>
                <w:b/>
              </w:rPr>
            </w:pPr>
          </w:p>
        </w:tc>
      </w:tr>
    </w:tbl>
    <w:p w14:paraId="3BD1BA33" w14:textId="77777777" w:rsidR="001C54DC" w:rsidRPr="00086A3C" w:rsidRDefault="001C54DC" w:rsidP="00520F2C">
      <w:pPr>
        <w:rPr>
          <w:b/>
        </w:rPr>
      </w:pPr>
    </w:p>
    <w:p w14:paraId="3BD1BA34" w14:textId="4466CB47" w:rsidR="00520F2C" w:rsidRPr="00086A3C" w:rsidRDefault="00520F2C" w:rsidP="00520F2C">
      <w:r w:rsidRPr="00086A3C">
        <w:rPr>
          <w:b/>
        </w:rPr>
        <w:t>3.</w:t>
      </w:r>
      <w:r w:rsidRPr="00086A3C">
        <w:t xml:space="preserve"> </w:t>
      </w:r>
      <w:r w:rsidR="00160526" w:rsidRPr="00160526">
        <w:rPr>
          <w:b/>
        </w:rPr>
        <w:t>Group and relevant</w:t>
      </w:r>
      <w:r w:rsidR="00160526">
        <w:t xml:space="preserve"> </w:t>
      </w:r>
      <w:r w:rsidR="00160526">
        <w:rPr>
          <w:b/>
        </w:rPr>
        <w:t>Subgroup</w:t>
      </w:r>
      <w:r w:rsidRPr="00086A3C">
        <w:rPr>
          <w:b/>
        </w:rPr>
        <w:t xml:space="preserve"> meetings</w:t>
      </w:r>
      <w:r w:rsidRPr="00086A3C">
        <w:t xml:space="preserve"> </w:t>
      </w:r>
      <w:r w:rsidR="00B618D2">
        <w:rPr>
          <w:b/>
        </w:rPr>
        <w:t xml:space="preserve">over period </w:t>
      </w:r>
      <w:r w:rsidR="00A429C8">
        <w:rPr>
          <w:b/>
        </w:rPr>
        <w:t>(required for engagement monitoring)</w:t>
      </w:r>
      <w:r w:rsidRPr="00086A3C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0"/>
      </w:tblGrid>
      <w:tr w:rsidR="00520F2C" w:rsidRPr="00086A3C" w14:paraId="3BD1BA36" w14:textId="77777777" w:rsidTr="005C3448">
        <w:tc>
          <w:tcPr>
            <w:tcW w:w="14000" w:type="dxa"/>
            <w:shd w:val="clear" w:color="auto" w:fill="auto"/>
          </w:tcPr>
          <w:p w14:paraId="3BD1BA35" w14:textId="77777777" w:rsidR="00520F2C" w:rsidRPr="00086A3C" w:rsidRDefault="00520F2C" w:rsidP="00C931B8"/>
        </w:tc>
      </w:tr>
    </w:tbl>
    <w:p w14:paraId="3BD1BA37" w14:textId="77777777" w:rsidR="00520F2C" w:rsidRPr="00086A3C" w:rsidRDefault="00520F2C" w:rsidP="00520F2C"/>
    <w:p w14:paraId="3BD1BA38" w14:textId="5A24D8CC" w:rsidR="00520F2C" w:rsidRPr="00086A3C" w:rsidRDefault="00160526" w:rsidP="00520F2C">
      <w:pPr>
        <w:rPr>
          <w:b/>
          <w:color w:val="FF0000"/>
        </w:rPr>
      </w:pPr>
      <w:r>
        <w:rPr>
          <w:b/>
        </w:rPr>
        <w:t>4. Any m</w:t>
      </w:r>
      <w:r w:rsidR="00520F2C" w:rsidRPr="00086A3C">
        <w:rPr>
          <w:b/>
        </w:rPr>
        <w:t xml:space="preserve">eetings held with externals: including contact with SNH &amp; </w:t>
      </w:r>
      <w:proofErr w:type="spellStart"/>
      <w:r w:rsidR="00520F2C" w:rsidRPr="00086A3C">
        <w:rPr>
          <w:b/>
        </w:rPr>
        <w:t>ScotGov</w:t>
      </w:r>
      <w:proofErr w:type="spellEnd"/>
      <w:r w:rsidR="00A833A2" w:rsidRPr="00086A3C">
        <w:rPr>
          <w:b/>
        </w:rPr>
        <w:t>/SEARs</w:t>
      </w:r>
      <w:r w:rsidR="00520F2C" w:rsidRPr="00086A3C">
        <w:rPr>
          <w:b/>
        </w:rPr>
        <w:t xml:space="preserve"> staff</w:t>
      </w:r>
      <w:r w:rsidR="00A429C8">
        <w:rPr>
          <w:b/>
        </w:rPr>
        <w:t xml:space="preserve"> (required for funding reports)</w:t>
      </w:r>
      <w:r w:rsidR="0079693A">
        <w:rPr>
          <w:b/>
        </w:rPr>
        <w:t xml:space="preserve">, </w:t>
      </w:r>
      <w:r w:rsidR="007824D4">
        <w:rPr>
          <w:b/>
        </w:rPr>
        <w:t xml:space="preserve">and </w:t>
      </w:r>
      <w:r w:rsidR="0079693A">
        <w:rPr>
          <w:b/>
        </w:rPr>
        <w:t>including wider civic Scotland (our KPIs)</w:t>
      </w:r>
      <w:r w:rsidR="00776F09">
        <w:rPr>
          <w:b/>
        </w:rPr>
        <w:t>. What were the main subjects and outcomes of these meetings?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0"/>
      </w:tblGrid>
      <w:tr w:rsidR="00520F2C" w:rsidRPr="00086A3C" w14:paraId="3BD1BA3A" w14:textId="77777777" w:rsidTr="005C3448">
        <w:tc>
          <w:tcPr>
            <w:tcW w:w="14000" w:type="dxa"/>
            <w:shd w:val="clear" w:color="auto" w:fill="auto"/>
          </w:tcPr>
          <w:p w14:paraId="3BD1BA39" w14:textId="77777777" w:rsidR="00520F2C" w:rsidRPr="00086A3C" w:rsidRDefault="00520F2C" w:rsidP="009B6A13"/>
        </w:tc>
      </w:tr>
    </w:tbl>
    <w:p w14:paraId="3BD1BA3B" w14:textId="77777777" w:rsidR="00520F2C" w:rsidRPr="00086A3C" w:rsidRDefault="00520F2C" w:rsidP="00520F2C">
      <w:pPr>
        <w:rPr>
          <w:color w:val="FF0000"/>
        </w:rPr>
      </w:pPr>
    </w:p>
    <w:p w14:paraId="3BD1BA3C" w14:textId="60337236" w:rsidR="00520F2C" w:rsidRPr="00A429C8" w:rsidRDefault="00160526" w:rsidP="00520F2C">
      <w:pPr>
        <w:ind w:left="360" w:hanging="360"/>
        <w:rPr>
          <w:color w:val="00B0F0"/>
        </w:rPr>
      </w:pPr>
      <w:r>
        <w:rPr>
          <w:b/>
        </w:rPr>
        <w:t xml:space="preserve">5.  Group </w:t>
      </w:r>
      <w:r w:rsidR="00520F2C" w:rsidRPr="00086A3C">
        <w:rPr>
          <w:b/>
        </w:rPr>
        <w:t>outputs</w:t>
      </w:r>
      <w:r w:rsidR="00520F2C" w:rsidRPr="00086A3C">
        <w:t xml:space="preserve">: </w:t>
      </w:r>
      <w:r w:rsidR="00D45B3D">
        <w:t xml:space="preserve">Public outputs produced in </w:t>
      </w:r>
      <w:r>
        <w:t xml:space="preserve">the Group’s </w:t>
      </w:r>
      <w:r w:rsidR="00A429C8">
        <w:t>name</w:t>
      </w:r>
      <w:r w:rsidR="00D45B3D">
        <w:t xml:space="preserve"> </w:t>
      </w:r>
      <w:r w:rsidR="001C54DC" w:rsidRPr="00086A3C">
        <w:t>(</w:t>
      </w:r>
      <w:r w:rsidR="00D45B3D">
        <w:t xml:space="preserve">those we know about are on </w:t>
      </w:r>
      <w:hyperlink r:id="rId11" w:history="1">
        <w:r w:rsidR="00520F2C" w:rsidRPr="00086A3C">
          <w:rPr>
            <w:rStyle w:val="Hyperlink"/>
          </w:rPr>
          <w:t>www.scotlink.org</w:t>
        </w:r>
      </w:hyperlink>
      <w:r w:rsidR="00520F2C" w:rsidRPr="00086A3C">
        <w:t xml:space="preserve"> </w:t>
      </w:r>
      <w:r w:rsidR="001C54DC" w:rsidRPr="00086A3C">
        <w:t xml:space="preserve">under </w:t>
      </w:r>
      <w:r w:rsidR="00086A3C">
        <w:t>relevant work area)</w:t>
      </w:r>
      <w:r w:rsidR="001C54DC" w:rsidRPr="00086A3C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2"/>
      </w:tblGrid>
      <w:tr w:rsidR="00520F2C" w:rsidRPr="00086A3C" w14:paraId="3BD1BA3E" w14:textId="77777777" w:rsidTr="005C3448">
        <w:tc>
          <w:tcPr>
            <w:tcW w:w="14142" w:type="dxa"/>
            <w:shd w:val="clear" w:color="auto" w:fill="auto"/>
          </w:tcPr>
          <w:p w14:paraId="3BD1BA3D" w14:textId="77777777" w:rsidR="00520F2C" w:rsidRPr="00086A3C" w:rsidRDefault="00520F2C" w:rsidP="009B6A13"/>
        </w:tc>
      </w:tr>
    </w:tbl>
    <w:p w14:paraId="3BD1BA3F" w14:textId="77777777" w:rsidR="00520F2C" w:rsidRPr="00086A3C" w:rsidRDefault="00520F2C" w:rsidP="00520F2C"/>
    <w:p w14:paraId="3BD1BA40" w14:textId="69CD0958" w:rsidR="00520F2C" w:rsidRPr="00086A3C" w:rsidRDefault="00160526" w:rsidP="00520F2C">
      <w:pPr>
        <w:ind w:left="360" w:hanging="360"/>
      </w:pPr>
      <w:r>
        <w:rPr>
          <w:b/>
        </w:rPr>
        <w:t xml:space="preserve">6.  Are there any </w:t>
      </w:r>
      <w:r w:rsidR="00520F2C" w:rsidRPr="00086A3C">
        <w:rPr>
          <w:b/>
        </w:rPr>
        <w:t>events planned that LINK members</w:t>
      </w:r>
      <w:r w:rsidR="009F4ADC" w:rsidRPr="00086A3C">
        <w:rPr>
          <w:b/>
        </w:rPr>
        <w:t>/staff</w:t>
      </w:r>
      <w:r w:rsidR="00520F2C" w:rsidRPr="00086A3C">
        <w:rPr>
          <w:b/>
        </w:rPr>
        <w:t xml:space="preserve"> should be made aware of</w:t>
      </w:r>
      <w:r w:rsidR="00520F2C" w:rsidRPr="00086A3C">
        <w:t xml:space="preserve">? </w:t>
      </w:r>
      <w:r w:rsidR="00A429C8">
        <w:t>(</w:t>
      </w:r>
      <w:proofErr w:type="gramStart"/>
      <w:r w:rsidR="00A429C8">
        <w:t>for</w:t>
      </w:r>
      <w:proofErr w:type="gramEnd"/>
      <w:r w:rsidR="00A429C8">
        <w:t xml:space="preserve"> forward planning</w:t>
      </w:r>
      <w:r w:rsidR="00B618D2">
        <w:t xml:space="preserve"> purposes and dissemination via bulletin</w:t>
      </w:r>
      <w:r w:rsidR="00A429C8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0"/>
      </w:tblGrid>
      <w:tr w:rsidR="00520F2C" w:rsidRPr="00086A3C" w14:paraId="3BD1BA42" w14:textId="77777777" w:rsidTr="005C3448">
        <w:tc>
          <w:tcPr>
            <w:tcW w:w="14000" w:type="dxa"/>
            <w:shd w:val="clear" w:color="auto" w:fill="auto"/>
          </w:tcPr>
          <w:p w14:paraId="3BD1BA41" w14:textId="77777777" w:rsidR="00520F2C" w:rsidRPr="00086A3C" w:rsidRDefault="00520F2C" w:rsidP="009B6A13"/>
        </w:tc>
      </w:tr>
    </w:tbl>
    <w:p w14:paraId="3BD1BA43" w14:textId="77777777" w:rsidR="009F4ADC" w:rsidRPr="00086A3C" w:rsidRDefault="009F4ADC" w:rsidP="00520F2C">
      <w:pPr>
        <w:ind w:left="360" w:hanging="360"/>
        <w:rPr>
          <w:b/>
        </w:rPr>
      </w:pPr>
    </w:p>
    <w:p w14:paraId="3BD1BA44" w14:textId="41A5C689" w:rsidR="00520F2C" w:rsidRPr="00086A3C" w:rsidRDefault="00160526" w:rsidP="00520F2C">
      <w:pPr>
        <w:ind w:left="360" w:hanging="360"/>
      </w:pPr>
      <w:r>
        <w:rPr>
          <w:b/>
        </w:rPr>
        <w:t xml:space="preserve">7. Group and Subgroup </w:t>
      </w:r>
      <w:r w:rsidR="001C54DC" w:rsidRPr="00086A3C">
        <w:rPr>
          <w:b/>
        </w:rPr>
        <w:t>d</w:t>
      </w:r>
      <w:r w:rsidR="00520F2C" w:rsidRPr="00086A3C">
        <w:rPr>
          <w:b/>
        </w:rPr>
        <w:t>elegates</w:t>
      </w:r>
      <w:r w:rsidR="001C54DC" w:rsidRPr="00086A3C">
        <w:rPr>
          <w:b/>
        </w:rPr>
        <w:t xml:space="preserve"> to external forums</w:t>
      </w:r>
      <w:r w:rsidR="00A429C8">
        <w:rPr>
          <w:b/>
        </w:rPr>
        <w:t xml:space="preserve"> / stakeholder groups</w:t>
      </w:r>
      <w:r w:rsidR="00520F2C" w:rsidRPr="00086A3C">
        <w:t xml:space="preserve"> </w:t>
      </w:r>
      <w:r w:rsidR="00A429C8">
        <w:t xml:space="preserve">(for </w:t>
      </w:r>
      <w:r>
        <w:t xml:space="preserve">amending the </w:t>
      </w:r>
      <w:r w:rsidR="00A429C8">
        <w:t>website and engagement monitoring)</w:t>
      </w:r>
      <w:r w:rsidR="00B618D2">
        <w:t xml:space="preserve"> </w:t>
      </w:r>
      <w:r w:rsidR="00520F2C" w:rsidRPr="00086A3C">
        <w:t>Please note any changes of</w:t>
      </w:r>
      <w:r w:rsidR="001C54DC" w:rsidRPr="00086A3C">
        <w:t xml:space="preserve"> delegates,</w:t>
      </w:r>
      <w:r w:rsidR="00520F2C" w:rsidRPr="00086A3C">
        <w:t xml:space="preserve"> </w:t>
      </w:r>
      <w:r w:rsidR="002F72AF" w:rsidRPr="00086A3C">
        <w:t xml:space="preserve">new forums. Please also note any </w:t>
      </w:r>
      <w:r w:rsidR="00520F2C" w:rsidRPr="00086A3C">
        <w:t>forums which have disbanded since the last report</w:t>
      </w:r>
      <w:r w:rsidR="001A03E1">
        <w:t>, and any groups we are not getting a place on that we should.</w:t>
      </w:r>
      <w:r w:rsidR="00520F2C" w:rsidRPr="00086A3C">
        <w:t xml:space="preserve"> (</w:t>
      </w:r>
      <w:proofErr w:type="gramStart"/>
      <w:r w:rsidR="00520F2C" w:rsidRPr="00086A3C">
        <w:rPr>
          <w:b/>
        </w:rPr>
        <w:t>see</w:t>
      </w:r>
      <w:proofErr w:type="gramEnd"/>
      <w:r w:rsidR="00520F2C" w:rsidRPr="00086A3C">
        <w:rPr>
          <w:b/>
        </w:rPr>
        <w:t xml:space="preserve"> LINK </w:t>
      </w:r>
      <w:hyperlink r:id="rId12" w:history="1">
        <w:r w:rsidR="00520F2C" w:rsidRPr="00086A3C">
          <w:rPr>
            <w:rStyle w:val="Hyperlink"/>
            <w:b/>
          </w:rPr>
          <w:t>website</w:t>
        </w:r>
      </w:hyperlink>
      <w:r w:rsidR="00520F2C" w:rsidRPr="00086A3C"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2"/>
      </w:tblGrid>
      <w:tr w:rsidR="00520F2C" w:rsidRPr="00086A3C" w14:paraId="3BD1BA47" w14:textId="77777777" w:rsidTr="005C3448">
        <w:tc>
          <w:tcPr>
            <w:tcW w:w="14142" w:type="dxa"/>
            <w:shd w:val="clear" w:color="auto" w:fill="auto"/>
          </w:tcPr>
          <w:p w14:paraId="3BD1BA45" w14:textId="77777777" w:rsidR="00520F2C" w:rsidRPr="00086A3C" w:rsidRDefault="00520F2C" w:rsidP="0040575D"/>
          <w:p w14:paraId="3BD1BA46" w14:textId="77777777" w:rsidR="00520F2C" w:rsidRPr="00086A3C" w:rsidRDefault="00520F2C" w:rsidP="0040575D"/>
        </w:tc>
      </w:tr>
    </w:tbl>
    <w:p w14:paraId="45F6C33F" w14:textId="77777777" w:rsidR="00A429C8" w:rsidRDefault="00A429C8" w:rsidP="00A429C8"/>
    <w:p w14:paraId="5EF5645F" w14:textId="77777777" w:rsidR="00776F09" w:rsidRDefault="00776F09">
      <w:r>
        <w:br w:type="page"/>
      </w:r>
    </w:p>
    <w:p w14:paraId="5CC5594A" w14:textId="152B75C5" w:rsidR="00A429C8" w:rsidRDefault="00A429C8" w:rsidP="00A429C8">
      <w:r>
        <w:lastRenderedPageBreak/>
        <w:t xml:space="preserve">Section 2. </w:t>
      </w:r>
      <w:r w:rsidR="00B618D2">
        <w:t>E</w:t>
      </w:r>
      <w:r w:rsidR="00160526">
        <w:t>valuation against our KPIs by Group</w:t>
      </w:r>
      <w:r w:rsidR="00B618D2">
        <w:t xml:space="preserve"> convenors/</w:t>
      </w:r>
      <w:proofErr w:type="gramStart"/>
      <w:r w:rsidR="00B618D2">
        <w:t>deputes  (</w:t>
      </w:r>
      <w:proofErr w:type="gramEnd"/>
      <w:r w:rsidR="00B618D2">
        <w:t xml:space="preserve">full list on </w:t>
      </w:r>
      <w:proofErr w:type="spellStart"/>
      <w:r w:rsidR="00B618D2">
        <w:t>weblink</w:t>
      </w:r>
      <w:proofErr w:type="spellEnd"/>
      <w:r w:rsidR="00B618D2">
        <w:t xml:space="preserve">). 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3227"/>
        <w:gridCol w:w="6095"/>
        <w:gridCol w:w="4820"/>
      </w:tblGrid>
      <w:tr w:rsidR="00776F09" w14:paraId="38B116B5" w14:textId="77777777" w:rsidTr="00776F09">
        <w:tc>
          <w:tcPr>
            <w:tcW w:w="3227" w:type="dxa"/>
          </w:tcPr>
          <w:p w14:paraId="425FC980" w14:textId="3FCB64D7" w:rsidR="00776F09" w:rsidRDefault="00160526" w:rsidP="00A85DBE">
            <w:pPr>
              <w:rPr>
                <w:b/>
              </w:rPr>
            </w:pPr>
            <w:r w:rsidRPr="00160526">
              <w:rPr>
                <w:b/>
                <w:color w:val="FF0000"/>
              </w:rPr>
              <w:t>To be amended</w:t>
            </w:r>
          </w:p>
        </w:tc>
        <w:tc>
          <w:tcPr>
            <w:tcW w:w="6095" w:type="dxa"/>
            <w:shd w:val="clear" w:color="auto" w:fill="auto"/>
          </w:tcPr>
          <w:p w14:paraId="6FC20D7C" w14:textId="0C1F8683" w:rsidR="00776F09" w:rsidRDefault="00776F09" w:rsidP="00A85DBE">
            <w:pPr>
              <w:rPr>
                <w:b/>
              </w:rPr>
            </w:pPr>
            <w:r>
              <w:rPr>
                <w:b/>
              </w:rPr>
              <w:t>Convenor comment over period</w:t>
            </w:r>
          </w:p>
        </w:tc>
        <w:tc>
          <w:tcPr>
            <w:tcW w:w="4820" w:type="dxa"/>
          </w:tcPr>
          <w:p w14:paraId="028C5406" w14:textId="631A8ADB" w:rsidR="00776F09" w:rsidRDefault="00776F09" w:rsidP="00A85DBE">
            <w:pPr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776F09" w14:paraId="39158A12" w14:textId="77777777" w:rsidTr="00776F09">
        <w:tc>
          <w:tcPr>
            <w:tcW w:w="3227" w:type="dxa"/>
          </w:tcPr>
          <w:p w14:paraId="39C73B8F" w14:textId="7990D1DF" w:rsidR="00776F09" w:rsidRPr="00D45B3D" w:rsidRDefault="00776F09" w:rsidP="00A85DBE">
            <w:pPr>
              <w:rPr>
                <w:b/>
              </w:rPr>
            </w:pPr>
            <w:r w:rsidRPr="00D45B3D">
              <w:rPr>
                <w:b/>
              </w:rPr>
              <w:t>Outcome 1.1. Extent to which LINK ‘asks’, messages and language are used in parliamentary debate, FMQs and policy papers, and are reflected in the manifestos of the main political parties.</w:t>
            </w:r>
          </w:p>
        </w:tc>
        <w:tc>
          <w:tcPr>
            <w:tcW w:w="6095" w:type="dxa"/>
            <w:shd w:val="clear" w:color="auto" w:fill="auto"/>
          </w:tcPr>
          <w:p w14:paraId="2B44ADF3" w14:textId="376A828F" w:rsidR="00776F09" w:rsidRPr="00C3452E" w:rsidRDefault="00776F09" w:rsidP="00A85DBE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14:paraId="07FC6462" w14:textId="71765151" w:rsidR="00776F09" w:rsidRPr="00C3452E" w:rsidRDefault="00776F09" w:rsidP="00A85DBE">
            <w:pPr>
              <w:rPr>
                <w:b/>
              </w:rPr>
            </w:pPr>
          </w:p>
        </w:tc>
      </w:tr>
      <w:tr w:rsidR="00776F09" w14:paraId="6845A7C2" w14:textId="77777777" w:rsidTr="00776F09">
        <w:tc>
          <w:tcPr>
            <w:tcW w:w="3227" w:type="dxa"/>
          </w:tcPr>
          <w:p w14:paraId="0A5EAF22" w14:textId="21EB7732" w:rsidR="00776F09" w:rsidRPr="00D45B3D" w:rsidRDefault="00776F09" w:rsidP="00BD4561">
            <w:pPr>
              <w:rPr>
                <w:b/>
              </w:rPr>
            </w:pPr>
            <w:r w:rsidRPr="00D45B3D">
              <w:rPr>
                <w:b/>
              </w:rPr>
              <w:t xml:space="preserve">Outcome 1.2 Level of M(S)P support for LINK network messages </w:t>
            </w:r>
          </w:p>
        </w:tc>
        <w:tc>
          <w:tcPr>
            <w:tcW w:w="6095" w:type="dxa"/>
            <w:shd w:val="clear" w:color="auto" w:fill="auto"/>
          </w:tcPr>
          <w:p w14:paraId="6D714F9D" w14:textId="77777777" w:rsidR="00776F09" w:rsidRDefault="00776F09" w:rsidP="00A85DBE"/>
        </w:tc>
        <w:tc>
          <w:tcPr>
            <w:tcW w:w="4820" w:type="dxa"/>
          </w:tcPr>
          <w:p w14:paraId="69308D98" w14:textId="77777777" w:rsidR="00776F09" w:rsidRDefault="00776F09" w:rsidP="00A85DBE"/>
        </w:tc>
      </w:tr>
      <w:tr w:rsidR="00776F09" w14:paraId="39AE9D36" w14:textId="77777777" w:rsidTr="00776F09">
        <w:tc>
          <w:tcPr>
            <w:tcW w:w="3227" w:type="dxa"/>
          </w:tcPr>
          <w:p w14:paraId="5341B177" w14:textId="4B4D6EA8" w:rsidR="00776F09" w:rsidRPr="00D45B3D" w:rsidRDefault="00776F09" w:rsidP="00A85DBE">
            <w:pPr>
              <w:rPr>
                <w:b/>
              </w:rPr>
            </w:pPr>
            <w:r w:rsidRPr="00D45B3D">
              <w:rPr>
                <w:b/>
              </w:rPr>
              <w:t>Outcome 1.3 Level of Scottish Parliament scrutiny of our delivery of environmental commitments</w:t>
            </w:r>
          </w:p>
        </w:tc>
        <w:tc>
          <w:tcPr>
            <w:tcW w:w="6095" w:type="dxa"/>
          </w:tcPr>
          <w:p w14:paraId="1A4202F7" w14:textId="77777777" w:rsidR="00776F09" w:rsidRDefault="00776F09" w:rsidP="00A85DBE"/>
        </w:tc>
        <w:tc>
          <w:tcPr>
            <w:tcW w:w="4820" w:type="dxa"/>
          </w:tcPr>
          <w:p w14:paraId="3778CEF3" w14:textId="77777777" w:rsidR="00776F09" w:rsidRDefault="00776F09" w:rsidP="00A85DBE"/>
        </w:tc>
      </w:tr>
      <w:tr w:rsidR="00776F09" w14:paraId="6C0A71D5" w14:textId="77777777" w:rsidTr="00776F09">
        <w:tc>
          <w:tcPr>
            <w:tcW w:w="3227" w:type="dxa"/>
          </w:tcPr>
          <w:p w14:paraId="4A388CFF" w14:textId="2974E7A3" w:rsidR="00776F09" w:rsidRPr="00D45B3D" w:rsidRDefault="00776F09" w:rsidP="00A85DBE">
            <w:pPr>
              <w:rPr>
                <w:b/>
              </w:rPr>
            </w:pPr>
            <w:r w:rsidRPr="00D45B3D">
              <w:rPr>
                <w:b/>
              </w:rPr>
              <w:t>1.4 Extent of Government cross-compliance across departments</w:t>
            </w:r>
          </w:p>
        </w:tc>
        <w:tc>
          <w:tcPr>
            <w:tcW w:w="6095" w:type="dxa"/>
          </w:tcPr>
          <w:p w14:paraId="7685EF78" w14:textId="77777777" w:rsidR="00776F09" w:rsidRDefault="00776F09" w:rsidP="00A85DBE"/>
        </w:tc>
        <w:tc>
          <w:tcPr>
            <w:tcW w:w="4820" w:type="dxa"/>
          </w:tcPr>
          <w:p w14:paraId="0B40D0D3" w14:textId="77777777" w:rsidR="00776F09" w:rsidRDefault="00776F09" w:rsidP="00A85DBE"/>
        </w:tc>
      </w:tr>
      <w:tr w:rsidR="00776F09" w14:paraId="5F958493" w14:textId="77777777" w:rsidTr="00776F09">
        <w:tc>
          <w:tcPr>
            <w:tcW w:w="3227" w:type="dxa"/>
          </w:tcPr>
          <w:p w14:paraId="3C2F25A7" w14:textId="5B7F368B" w:rsidR="00776F09" w:rsidRPr="00D45B3D" w:rsidRDefault="00776F09" w:rsidP="00D45B3D">
            <w:pPr>
              <w:rPr>
                <w:b/>
              </w:rPr>
            </w:pPr>
            <w:r w:rsidRPr="00D45B3D">
              <w:rPr>
                <w:b/>
              </w:rPr>
              <w:t>1.8 Level and frequency of LINK access to decision-makers including MSPs/MPs/MEPs, Ministers, senior government officials and business leaders</w:t>
            </w:r>
            <w:r>
              <w:rPr>
                <w:b/>
              </w:rPr>
              <w:t>.</w:t>
            </w:r>
            <w:r w:rsidRPr="00D45B3D">
              <w:rPr>
                <w:b/>
              </w:rPr>
              <w:t xml:space="preserve"> </w:t>
            </w:r>
          </w:p>
        </w:tc>
        <w:tc>
          <w:tcPr>
            <w:tcW w:w="6095" w:type="dxa"/>
          </w:tcPr>
          <w:p w14:paraId="77C44058" w14:textId="77777777" w:rsidR="00776F09" w:rsidRDefault="00776F09" w:rsidP="00A85DBE"/>
        </w:tc>
        <w:tc>
          <w:tcPr>
            <w:tcW w:w="4820" w:type="dxa"/>
          </w:tcPr>
          <w:p w14:paraId="3EE57784" w14:textId="17E34AAC" w:rsidR="00776F09" w:rsidRDefault="00776F09" w:rsidP="00A85DBE"/>
        </w:tc>
      </w:tr>
    </w:tbl>
    <w:p w14:paraId="7AD1FEF3" w14:textId="77777777" w:rsidR="00AD02EB" w:rsidRDefault="00AD02EB" w:rsidP="00AD02EB"/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3227"/>
        <w:gridCol w:w="6095"/>
        <w:gridCol w:w="4820"/>
      </w:tblGrid>
      <w:tr w:rsidR="00776F09" w14:paraId="1512FBD7" w14:textId="77777777" w:rsidTr="00776F09">
        <w:tc>
          <w:tcPr>
            <w:tcW w:w="3227" w:type="dxa"/>
          </w:tcPr>
          <w:p w14:paraId="5C96CE6A" w14:textId="77777777" w:rsidR="00776F09" w:rsidRDefault="00776F09" w:rsidP="00A85DBE"/>
        </w:tc>
        <w:tc>
          <w:tcPr>
            <w:tcW w:w="6095" w:type="dxa"/>
            <w:shd w:val="clear" w:color="auto" w:fill="auto"/>
          </w:tcPr>
          <w:p w14:paraId="2079A8AD" w14:textId="5C72C829" w:rsidR="00776F09" w:rsidRDefault="00776F09" w:rsidP="00A85DBE">
            <w:pPr>
              <w:rPr>
                <w:b/>
              </w:rPr>
            </w:pPr>
            <w:r>
              <w:rPr>
                <w:b/>
              </w:rPr>
              <w:t>Convenor comment over period</w:t>
            </w:r>
          </w:p>
        </w:tc>
        <w:tc>
          <w:tcPr>
            <w:tcW w:w="4820" w:type="dxa"/>
          </w:tcPr>
          <w:p w14:paraId="7648CB76" w14:textId="4FF85564" w:rsidR="00776F09" w:rsidRDefault="00776F09" w:rsidP="00A85DBE">
            <w:pPr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776F09" w14:paraId="5F520B24" w14:textId="77777777" w:rsidTr="00776F09">
        <w:tc>
          <w:tcPr>
            <w:tcW w:w="3227" w:type="dxa"/>
          </w:tcPr>
          <w:p w14:paraId="642912F1" w14:textId="3CCE1137" w:rsidR="00776F09" w:rsidRPr="00D45B3D" w:rsidRDefault="00776F09" w:rsidP="00A85DBE">
            <w:pPr>
              <w:rPr>
                <w:b/>
              </w:rPr>
            </w:pPr>
            <w:r w:rsidRPr="00D45B3D">
              <w:rPr>
                <w:b/>
              </w:rPr>
              <w:t>2.2 Level of participation at and feedback from task force meetings, internal workshops and trainings arranged by LINK for members (on current issues, or skills needs).</w:t>
            </w:r>
          </w:p>
        </w:tc>
        <w:tc>
          <w:tcPr>
            <w:tcW w:w="6095" w:type="dxa"/>
            <w:shd w:val="clear" w:color="auto" w:fill="auto"/>
          </w:tcPr>
          <w:p w14:paraId="16C89C38" w14:textId="5C4BA12B" w:rsidR="00776F09" w:rsidRPr="00C3452E" w:rsidRDefault="00776F09" w:rsidP="00A85DBE">
            <w:pPr>
              <w:rPr>
                <w:b/>
              </w:rPr>
            </w:pPr>
          </w:p>
        </w:tc>
        <w:tc>
          <w:tcPr>
            <w:tcW w:w="4820" w:type="dxa"/>
          </w:tcPr>
          <w:p w14:paraId="291DBCB4" w14:textId="04F0CF73" w:rsidR="00776F09" w:rsidRPr="005C3448" w:rsidRDefault="00776F09" w:rsidP="00A85DBE"/>
        </w:tc>
      </w:tr>
      <w:tr w:rsidR="00776F09" w14:paraId="263F8EAD" w14:textId="77777777" w:rsidTr="00776F09">
        <w:tc>
          <w:tcPr>
            <w:tcW w:w="3227" w:type="dxa"/>
          </w:tcPr>
          <w:p w14:paraId="69825B96" w14:textId="7710847D" w:rsidR="00776F09" w:rsidRPr="00D45B3D" w:rsidRDefault="00776F09" w:rsidP="00D45B3D">
            <w:pPr>
              <w:rPr>
                <w:b/>
              </w:rPr>
            </w:pPr>
            <w:r w:rsidRPr="00D45B3D">
              <w:rPr>
                <w:b/>
              </w:rPr>
              <w:t xml:space="preserve">2.3 Extent to which Task Force </w:t>
            </w:r>
            <w:r w:rsidRPr="00D45B3D">
              <w:rPr>
                <w:b/>
              </w:rPr>
              <w:lastRenderedPageBreak/>
              <w:t xml:space="preserve">members are willing to be robust critics. </w:t>
            </w:r>
          </w:p>
        </w:tc>
        <w:tc>
          <w:tcPr>
            <w:tcW w:w="6095" w:type="dxa"/>
            <w:shd w:val="clear" w:color="auto" w:fill="auto"/>
          </w:tcPr>
          <w:p w14:paraId="49007ED4" w14:textId="77777777" w:rsidR="00776F09" w:rsidRDefault="00776F09" w:rsidP="00A85DBE"/>
        </w:tc>
        <w:tc>
          <w:tcPr>
            <w:tcW w:w="4820" w:type="dxa"/>
          </w:tcPr>
          <w:p w14:paraId="330E7617" w14:textId="77777777" w:rsidR="00776F09" w:rsidRDefault="00776F09" w:rsidP="00A85DBE"/>
        </w:tc>
      </w:tr>
      <w:tr w:rsidR="00776F09" w14:paraId="5A19CE93" w14:textId="77777777" w:rsidTr="00776F09">
        <w:tc>
          <w:tcPr>
            <w:tcW w:w="3227" w:type="dxa"/>
          </w:tcPr>
          <w:p w14:paraId="6F515A83" w14:textId="5F1611C7" w:rsidR="00776F09" w:rsidRPr="00D45B3D" w:rsidRDefault="00776F09" w:rsidP="00A85DBE">
            <w:pPr>
              <w:rPr>
                <w:b/>
              </w:rPr>
            </w:pPr>
            <w:r w:rsidRPr="00D45B3D">
              <w:rPr>
                <w:b/>
              </w:rPr>
              <w:lastRenderedPageBreak/>
              <w:t>2.4 Level of improvement in negotiating skills, based on Task Forces identify their needs and these being addressed.</w:t>
            </w:r>
          </w:p>
        </w:tc>
        <w:tc>
          <w:tcPr>
            <w:tcW w:w="6095" w:type="dxa"/>
          </w:tcPr>
          <w:p w14:paraId="1F0A415D" w14:textId="77777777" w:rsidR="00776F09" w:rsidRDefault="00776F09" w:rsidP="00A85DBE"/>
        </w:tc>
        <w:tc>
          <w:tcPr>
            <w:tcW w:w="4820" w:type="dxa"/>
          </w:tcPr>
          <w:p w14:paraId="677A444E" w14:textId="77777777" w:rsidR="00776F09" w:rsidRDefault="00776F09" w:rsidP="00A85DBE"/>
        </w:tc>
      </w:tr>
      <w:tr w:rsidR="00776F09" w14:paraId="429A99C0" w14:textId="77777777" w:rsidTr="00776F09">
        <w:tc>
          <w:tcPr>
            <w:tcW w:w="3227" w:type="dxa"/>
          </w:tcPr>
          <w:p w14:paraId="2B16BFDC" w14:textId="28C78183" w:rsidR="00776F09" w:rsidRPr="00D45B3D" w:rsidRDefault="00776F09" w:rsidP="00A85DBE">
            <w:pPr>
              <w:rPr>
                <w:b/>
              </w:rPr>
            </w:pPr>
            <w:r w:rsidRPr="00D45B3D">
              <w:rPr>
                <w:b/>
              </w:rPr>
              <w:t>2.5 LINK adds value as a collective voice</w:t>
            </w:r>
          </w:p>
        </w:tc>
        <w:tc>
          <w:tcPr>
            <w:tcW w:w="6095" w:type="dxa"/>
          </w:tcPr>
          <w:p w14:paraId="22CB2853" w14:textId="77777777" w:rsidR="00776F09" w:rsidRDefault="00776F09" w:rsidP="00A85DBE"/>
        </w:tc>
        <w:tc>
          <w:tcPr>
            <w:tcW w:w="4820" w:type="dxa"/>
          </w:tcPr>
          <w:p w14:paraId="66D6C3FA" w14:textId="3F0E5741" w:rsidR="00776F09" w:rsidRDefault="00776F09" w:rsidP="00A85DBE"/>
        </w:tc>
      </w:tr>
    </w:tbl>
    <w:p w14:paraId="53C548F9" w14:textId="77777777" w:rsidR="00BD4561" w:rsidRDefault="00BD4561" w:rsidP="00BD4561"/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3168"/>
        <w:gridCol w:w="6012"/>
        <w:gridCol w:w="4962"/>
      </w:tblGrid>
      <w:tr w:rsidR="00776F09" w14:paraId="513460A0" w14:textId="77777777" w:rsidTr="00776F09">
        <w:tc>
          <w:tcPr>
            <w:tcW w:w="3168" w:type="dxa"/>
          </w:tcPr>
          <w:p w14:paraId="7AF9187E" w14:textId="77777777" w:rsidR="00776F09" w:rsidRPr="005C3448" w:rsidRDefault="00776F09" w:rsidP="00A85DBE">
            <w:pPr>
              <w:rPr>
                <w:b/>
              </w:rPr>
            </w:pPr>
          </w:p>
        </w:tc>
        <w:tc>
          <w:tcPr>
            <w:tcW w:w="6012" w:type="dxa"/>
            <w:shd w:val="clear" w:color="auto" w:fill="auto"/>
          </w:tcPr>
          <w:p w14:paraId="412D85BF" w14:textId="45C7CADD" w:rsidR="00776F09" w:rsidRDefault="00776F09" w:rsidP="00A85DBE">
            <w:pPr>
              <w:rPr>
                <w:b/>
              </w:rPr>
            </w:pPr>
            <w:r>
              <w:rPr>
                <w:b/>
              </w:rPr>
              <w:t>Convenor comment over period</w:t>
            </w:r>
          </w:p>
        </w:tc>
        <w:tc>
          <w:tcPr>
            <w:tcW w:w="4962" w:type="dxa"/>
          </w:tcPr>
          <w:p w14:paraId="0A70C07D" w14:textId="05072D97" w:rsidR="00776F09" w:rsidRDefault="00776F09" w:rsidP="00A85DBE">
            <w:pPr>
              <w:rPr>
                <w:b/>
              </w:rPr>
            </w:pPr>
            <w:r>
              <w:rPr>
                <w:b/>
              </w:rPr>
              <w:t>Evidence (see leader observation checklist)</w:t>
            </w:r>
          </w:p>
        </w:tc>
      </w:tr>
      <w:tr w:rsidR="00776F09" w14:paraId="721E70AB" w14:textId="77777777" w:rsidTr="00776F09">
        <w:tc>
          <w:tcPr>
            <w:tcW w:w="3168" w:type="dxa"/>
          </w:tcPr>
          <w:p w14:paraId="54EEFCAF" w14:textId="06FA309E" w:rsidR="00776F09" w:rsidRPr="005C3448" w:rsidRDefault="00776F09" w:rsidP="00A85DBE">
            <w:pPr>
              <w:rPr>
                <w:b/>
              </w:rPr>
            </w:pPr>
            <w:r w:rsidRPr="005C3448">
              <w:rPr>
                <w:b/>
              </w:rPr>
              <w:t>3.3 Extent to which the network is live to the diversity of member interests and views, robust about dealing with consensus, confident in expressing positions</w:t>
            </w:r>
            <w:r>
              <w:rPr>
                <w:b/>
              </w:rPr>
              <w:t>.</w:t>
            </w:r>
          </w:p>
        </w:tc>
        <w:tc>
          <w:tcPr>
            <w:tcW w:w="6012" w:type="dxa"/>
            <w:shd w:val="clear" w:color="auto" w:fill="auto"/>
          </w:tcPr>
          <w:p w14:paraId="6F60BA16" w14:textId="7E596014" w:rsidR="00776F09" w:rsidRPr="00C3452E" w:rsidRDefault="00776F09" w:rsidP="00A85DBE">
            <w:pPr>
              <w:rPr>
                <w:b/>
              </w:rPr>
            </w:pPr>
          </w:p>
        </w:tc>
        <w:tc>
          <w:tcPr>
            <w:tcW w:w="4962" w:type="dxa"/>
          </w:tcPr>
          <w:p w14:paraId="6CCFC923" w14:textId="1E98312F" w:rsidR="00776F09" w:rsidRPr="00C3452E" w:rsidRDefault="00776F09" w:rsidP="00A85DBE">
            <w:pPr>
              <w:rPr>
                <w:b/>
              </w:rPr>
            </w:pPr>
          </w:p>
        </w:tc>
      </w:tr>
      <w:tr w:rsidR="00776F09" w14:paraId="6BD6F0FA" w14:textId="77777777" w:rsidTr="00776F09">
        <w:tc>
          <w:tcPr>
            <w:tcW w:w="3168" w:type="dxa"/>
          </w:tcPr>
          <w:p w14:paraId="14D54D54" w14:textId="152673AE" w:rsidR="00776F09" w:rsidRPr="005C3448" w:rsidRDefault="00776F09" w:rsidP="00A85DBE">
            <w:pPr>
              <w:rPr>
                <w:b/>
              </w:rPr>
            </w:pPr>
            <w:r w:rsidRPr="005C3448">
              <w:rPr>
                <w:b/>
              </w:rPr>
              <w:t xml:space="preserve">3.4 Extent to which Task Force Work Plans are explicit about strengths and diversity in these groups.  </w:t>
            </w:r>
          </w:p>
        </w:tc>
        <w:tc>
          <w:tcPr>
            <w:tcW w:w="6012" w:type="dxa"/>
            <w:shd w:val="clear" w:color="auto" w:fill="auto"/>
          </w:tcPr>
          <w:p w14:paraId="56045712" w14:textId="77777777" w:rsidR="00776F09" w:rsidRDefault="00776F09" w:rsidP="00A85DBE"/>
        </w:tc>
        <w:tc>
          <w:tcPr>
            <w:tcW w:w="4962" w:type="dxa"/>
          </w:tcPr>
          <w:p w14:paraId="7F8D3948" w14:textId="77777777" w:rsidR="00776F09" w:rsidRDefault="00776F09" w:rsidP="00A85DBE"/>
        </w:tc>
      </w:tr>
      <w:tr w:rsidR="00776F09" w14:paraId="75340AE3" w14:textId="77777777" w:rsidTr="00776F09">
        <w:tc>
          <w:tcPr>
            <w:tcW w:w="3168" w:type="dxa"/>
          </w:tcPr>
          <w:p w14:paraId="2FE788D4" w14:textId="4B432FD4" w:rsidR="00776F09" w:rsidRPr="005C3448" w:rsidRDefault="00776F09" w:rsidP="00A85DBE">
            <w:pPr>
              <w:rPr>
                <w:b/>
              </w:rPr>
            </w:pPr>
            <w:r w:rsidRPr="005C3448">
              <w:rPr>
                <w:b/>
              </w:rPr>
              <w:t>3.5 Extent to which LINK Task Forces/Forums/Groups/Projects plans and messages are harmonised, avoiding contradiction or duplication, collaborating when needed</w:t>
            </w:r>
            <w:r>
              <w:rPr>
                <w:b/>
              </w:rPr>
              <w:t>.</w:t>
            </w:r>
          </w:p>
        </w:tc>
        <w:tc>
          <w:tcPr>
            <w:tcW w:w="6012" w:type="dxa"/>
          </w:tcPr>
          <w:p w14:paraId="6078F6F8" w14:textId="77777777" w:rsidR="00776F09" w:rsidRDefault="00776F09" w:rsidP="00A85DBE"/>
        </w:tc>
        <w:tc>
          <w:tcPr>
            <w:tcW w:w="4962" w:type="dxa"/>
          </w:tcPr>
          <w:p w14:paraId="1BA76CA6" w14:textId="77777777" w:rsidR="00776F09" w:rsidRDefault="00776F09" w:rsidP="00A85DBE"/>
        </w:tc>
      </w:tr>
      <w:tr w:rsidR="00776F09" w14:paraId="294EC705" w14:textId="77777777" w:rsidTr="00776F09">
        <w:tc>
          <w:tcPr>
            <w:tcW w:w="3168" w:type="dxa"/>
          </w:tcPr>
          <w:p w14:paraId="5D9AC533" w14:textId="1CEBAF67" w:rsidR="00776F09" w:rsidRPr="005C3448" w:rsidRDefault="00776F09" w:rsidP="00A85DBE">
            <w:pPr>
              <w:rPr>
                <w:b/>
              </w:rPr>
            </w:pPr>
            <w:r w:rsidRPr="005C3448">
              <w:rPr>
                <w:b/>
              </w:rPr>
              <w:t>3.6 Extent to which Task Force Convenors are aware of the spread of members and are content that all relevant members are participating.</w:t>
            </w:r>
          </w:p>
        </w:tc>
        <w:tc>
          <w:tcPr>
            <w:tcW w:w="6012" w:type="dxa"/>
          </w:tcPr>
          <w:p w14:paraId="158C0ED8" w14:textId="77777777" w:rsidR="00776F09" w:rsidRDefault="00776F09" w:rsidP="00A85DBE"/>
        </w:tc>
        <w:tc>
          <w:tcPr>
            <w:tcW w:w="4962" w:type="dxa"/>
          </w:tcPr>
          <w:p w14:paraId="39223BBA" w14:textId="77777777" w:rsidR="00776F09" w:rsidRDefault="00776F09" w:rsidP="00A85DBE"/>
        </w:tc>
      </w:tr>
    </w:tbl>
    <w:p w14:paraId="09BBCD98" w14:textId="2B755CB1" w:rsidR="001A03E1" w:rsidRDefault="001A03E1"/>
    <w:sectPr w:rsidR="001A03E1" w:rsidSect="00BD4561">
      <w:head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1BACE" w14:textId="77777777" w:rsidR="007D4ED2" w:rsidRDefault="007D4ED2" w:rsidP="005814B6">
      <w:pPr>
        <w:spacing w:after="0" w:line="240" w:lineRule="auto"/>
      </w:pPr>
      <w:r>
        <w:separator/>
      </w:r>
    </w:p>
  </w:endnote>
  <w:endnote w:type="continuationSeparator" w:id="0">
    <w:p w14:paraId="3BD1BACF" w14:textId="77777777" w:rsidR="007D4ED2" w:rsidRDefault="007D4ED2" w:rsidP="0058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1BACC" w14:textId="77777777" w:rsidR="007D4ED2" w:rsidRDefault="007D4ED2" w:rsidP="005814B6">
      <w:pPr>
        <w:spacing w:after="0" w:line="240" w:lineRule="auto"/>
      </w:pPr>
      <w:r>
        <w:separator/>
      </w:r>
    </w:p>
  </w:footnote>
  <w:footnote w:type="continuationSeparator" w:id="0">
    <w:p w14:paraId="3BD1BACD" w14:textId="77777777" w:rsidR="007D4ED2" w:rsidRDefault="007D4ED2" w:rsidP="0058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1BAD0" w14:textId="77777777" w:rsidR="002A77C7" w:rsidRDefault="002A77C7" w:rsidP="005814B6">
    <w:pPr>
      <w:spacing w:after="60" w:line="240" w:lineRule="auto"/>
      <w:jc w:val="both"/>
      <w:rPr>
        <w:b/>
        <w:color w:val="7030A0"/>
        <w:sz w:val="28"/>
        <w:szCs w:val="28"/>
      </w:rPr>
    </w:pPr>
  </w:p>
  <w:p w14:paraId="3BD1BAD2" w14:textId="7672973B" w:rsidR="00E86AB6" w:rsidRPr="00F310C4" w:rsidRDefault="00B01785" w:rsidP="005814B6">
    <w:pPr>
      <w:spacing w:after="60" w:line="240" w:lineRule="auto"/>
      <w:jc w:val="both"/>
      <w:rPr>
        <w:b/>
        <w:color w:val="7030A0"/>
        <w:sz w:val="24"/>
        <w:szCs w:val="24"/>
      </w:rPr>
    </w:pPr>
    <w:r w:rsidRPr="00F310C4">
      <w:rPr>
        <w:b/>
        <w:color w:val="7030A0"/>
        <w:sz w:val="24"/>
        <w:szCs w:val="24"/>
      </w:rPr>
      <w:t xml:space="preserve">LINK </w:t>
    </w:r>
    <w:r w:rsidR="005814B6" w:rsidRPr="00F310C4">
      <w:rPr>
        <w:b/>
        <w:color w:val="7030A0"/>
        <w:sz w:val="24"/>
        <w:szCs w:val="24"/>
      </w:rPr>
      <w:t xml:space="preserve">Reporting </w:t>
    </w:r>
    <w:r w:rsidR="00BC2366">
      <w:rPr>
        <w:b/>
        <w:color w:val="7030A0"/>
        <w:sz w:val="24"/>
        <w:szCs w:val="24"/>
      </w:rPr>
      <w:t>P</w:t>
    </w:r>
    <w:r w:rsidRPr="00F310C4">
      <w:rPr>
        <w:b/>
        <w:color w:val="7030A0"/>
        <w:sz w:val="24"/>
        <w:szCs w:val="24"/>
      </w:rPr>
      <w:t>ro</w:t>
    </w:r>
    <w:r w:rsidR="00BC2366">
      <w:rPr>
        <w:b/>
        <w:color w:val="7030A0"/>
        <w:sz w:val="24"/>
        <w:szCs w:val="24"/>
      </w:rPr>
      <w:t>-</w:t>
    </w:r>
    <w:r w:rsidRPr="00F310C4">
      <w:rPr>
        <w:b/>
        <w:color w:val="7030A0"/>
        <w:sz w:val="24"/>
        <w:szCs w:val="24"/>
      </w:rPr>
      <w:t>forma for</w:t>
    </w:r>
    <w:r w:rsidR="00160526">
      <w:rPr>
        <w:b/>
        <w:color w:val="7030A0"/>
        <w:sz w:val="24"/>
        <w:szCs w:val="24"/>
      </w:rPr>
      <w:t xml:space="preserve"> Groups (including relevant sub-groups).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12F"/>
    <w:multiLevelType w:val="hybridMultilevel"/>
    <w:tmpl w:val="2CC04B34"/>
    <w:lvl w:ilvl="0" w:tplc="7C2E85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680"/>
    <w:multiLevelType w:val="hybridMultilevel"/>
    <w:tmpl w:val="3A1832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D3A"/>
    <w:multiLevelType w:val="hybridMultilevel"/>
    <w:tmpl w:val="D960D8EC"/>
    <w:lvl w:ilvl="0" w:tplc="6D1AF99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A0A08"/>
    <w:multiLevelType w:val="hybridMultilevel"/>
    <w:tmpl w:val="68866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82363"/>
    <w:multiLevelType w:val="hybridMultilevel"/>
    <w:tmpl w:val="BEAAF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833C0"/>
    <w:multiLevelType w:val="hybridMultilevel"/>
    <w:tmpl w:val="E9A88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31B04"/>
    <w:multiLevelType w:val="hybridMultilevel"/>
    <w:tmpl w:val="E26E5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3E37"/>
    <w:multiLevelType w:val="hybridMultilevel"/>
    <w:tmpl w:val="D960D8EC"/>
    <w:lvl w:ilvl="0" w:tplc="6D1AF99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61B40"/>
    <w:multiLevelType w:val="hybridMultilevel"/>
    <w:tmpl w:val="C1824CEA"/>
    <w:lvl w:ilvl="0" w:tplc="434042E2">
      <w:start w:val="1"/>
      <w:numFmt w:val="upperLetter"/>
      <w:lvlText w:val="%1."/>
      <w:lvlJc w:val="left"/>
      <w:pPr>
        <w:ind w:left="1080" w:hanging="720"/>
      </w:pPr>
      <w:rPr>
        <w:rFonts w:ascii="Calibri" w:eastAsia="Calibri" w:hAnsi="Calibri" w:cs="Calibri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D4538"/>
    <w:multiLevelType w:val="hybridMultilevel"/>
    <w:tmpl w:val="D1183C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87E4B"/>
    <w:multiLevelType w:val="hybridMultilevel"/>
    <w:tmpl w:val="3DD22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C5AF9"/>
    <w:multiLevelType w:val="hybridMultilevel"/>
    <w:tmpl w:val="721650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69"/>
    <w:rsid w:val="00002D8D"/>
    <w:rsid w:val="00086A3C"/>
    <w:rsid w:val="00095C27"/>
    <w:rsid w:val="000B67D9"/>
    <w:rsid w:val="000B7293"/>
    <w:rsid w:val="000E418C"/>
    <w:rsid w:val="000F6965"/>
    <w:rsid w:val="00155404"/>
    <w:rsid w:val="00160526"/>
    <w:rsid w:val="001A03E1"/>
    <w:rsid w:val="001A32C9"/>
    <w:rsid w:val="001C54DC"/>
    <w:rsid w:val="001E5FE7"/>
    <w:rsid w:val="00234F21"/>
    <w:rsid w:val="0024427B"/>
    <w:rsid w:val="00275E3A"/>
    <w:rsid w:val="002A77C7"/>
    <w:rsid w:val="002E0F60"/>
    <w:rsid w:val="002F5B0A"/>
    <w:rsid w:val="002F72AF"/>
    <w:rsid w:val="003654CF"/>
    <w:rsid w:val="0039601A"/>
    <w:rsid w:val="003D5A8D"/>
    <w:rsid w:val="00417398"/>
    <w:rsid w:val="0046509E"/>
    <w:rsid w:val="004B751E"/>
    <w:rsid w:val="00520F2C"/>
    <w:rsid w:val="005814B6"/>
    <w:rsid w:val="00585557"/>
    <w:rsid w:val="005B1FBA"/>
    <w:rsid w:val="005B60A3"/>
    <w:rsid w:val="005C3448"/>
    <w:rsid w:val="005D2CB1"/>
    <w:rsid w:val="006005EB"/>
    <w:rsid w:val="00627169"/>
    <w:rsid w:val="00630F6A"/>
    <w:rsid w:val="006353F1"/>
    <w:rsid w:val="006D2C43"/>
    <w:rsid w:val="00705E37"/>
    <w:rsid w:val="00741D81"/>
    <w:rsid w:val="00776F09"/>
    <w:rsid w:val="007824D4"/>
    <w:rsid w:val="0079693A"/>
    <w:rsid w:val="007D4ED2"/>
    <w:rsid w:val="007F0642"/>
    <w:rsid w:val="008110A4"/>
    <w:rsid w:val="00872DEB"/>
    <w:rsid w:val="0088403C"/>
    <w:rsid w:val="008A4ABD"/>
    <w:rsid w:val="008C03F7"/>
    <w:rsid w:val="008E60CF"/>
    <w:rsid w:val="009946EF"/>
    <w:rsid w:val="009B6A13"/>
    <w:rsid w:val="009E3A98"/>
    <w:rsid w:val="009F4ADC"/>
    <w:rsid w:val="00A429C8"/>
    <w:rsid w:val="00A516D8"/>
    <w:rsid w:val="00A833A2"/>
    <w:rsid w:val="00A870F7"/>
    <w:rsid w:val="00A9435C"/>
    <w:rsid w:val="00AC21F4"/>
    <w:rsid w:val="00AC6866"/>
    <w:rsid w:val="00AD02EB"/>
    <w:rsid w:val="00B01785"/>
    <w:rsid w:val="00B17428"/>
    <w:rsid w:val="00B328AE"/>
    <w:rsid w:val="00B5124D"/>
    <w:rsid w:val="00B5340C"/>
    <w:rsid w:val="00B618D2"/>
    <w:rsid w:val="00BC2366"/>
    <w:rsid w:val="00BD10A9"/>
    <w:rsid w:val="00BD4561"/>
    <w:rsid w:val="00C4077A"/>
    <w:rsid w:val="00C46A17"/>
    <w:rsid w:val="00C8354C"/>
    <w:rsid w:val="00C908FE"/>
    <w:rsid w:val="00C931B8"/>
    <w:rsid w:val="00CA5517"/>
    <w:rsid w:val="00CC3F87"/>
    <w:rsid w:val="00D30749"/>
    <w:rsid w:val="00D33473"/>
    <w:rsid w:val="00D45B3D"/>
    <w:rsid w:val="00DD325A"/>
    <w:rsid w:val="00E22B10"/>
    <w:rsid w:val="00E55FBF"/>
    <w:rsid w:val="00E86AB6"/>
    <w:rsid w:val="00EA1B63"/>
    <w:rsid w:val="00EA52ED"/>
    <w:rsid w:val="00EE0A5D"/>
    <w:rsid w:val="00EF0C95"/>
    <w:rsid w:val="00F310C4"/>
    <w:rsid w:val="00F546ED"/>
    <w:rsid w:val="00FC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BA21"/>
  <w15:docId w15:val="{55613EB9-1609-4B6F-BD64-A030E293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4B6"/>
  </w:style>
  <w:style w:type="paragraph" w:styleId="Footer">
    <w:name w:val="footer"/>
    <w:basedOn w:val="Normal"/>
    <w:link w:val="FooterChar"/>
    <w:uiPriority w:val="99"/>
    <w:unhideWhenUsed/>
    <w:rsid w:val="0058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4B6"/>
  </w:style>
  <w:style w:type="paragraph" w:styleId="BalloonText">
    <w:name w:val="Balloon Text"/>
    <w:basedOn w:val="Normal"/>
    <w:link w:val="BalloonTextChar"/>
    <w:uiPriority w:val="99"/>
    <w:semiHidden/>
    <w:unhideWhenUsed/>
    <w:rsid w:val="0058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0C4"/>
    <w:pPr>
      <w:ind w:left="720"/>
      <w:contextualSpacing/>
    </w:pPr>
  </w:style>
  <w:style w:type="character" w:styleId="Hyperlink">
    <w:name w:val="Hyperlink"/>
    <w:rsid w:val="00520F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5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otlink.org/work-areas/link-delegat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otlink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555C6E69AE84A9E4B1B108A48A380" ma:contentTypeVersion="0" ma:contentTypeDescription="Create a new document." ma:contentTypeScope="" ma:versionID="a8578893cd9ad7dc8ea842b252c184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d3ce752f89babdaafdc570ef9d50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D90BE-AF28-4071-A6FA-83193350C75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9DB908-1344-4455-AF6B-38FB3D24C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74E1FB-F93C-4986-98A7-16E7098C1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4969F-C0BF-4F8B-8FCE-5CE0AD63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Anderson</dc:creator>
  <cp:lastModifiedBy>Alice Walsh</cp:lastModifiedBy>
  <cp:revision>2</cp:revision>
  <cp:lastPrinted>2016-01-13T11:59:00Z</cp:lastPrinted>
  <dcterms:created xsi:type="dcterms:W3CDTF">2016-01-13T12:00:00Z</dcterms:created>
  <dcterms:modified xsi:type="dcterms:W3CDTF">2016-01-13T12:00:00Z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0x01010008D555C6E69AE84A9E4B1B108A48A380</vt:lpwstr>
  </property>
</Properties>
</file>