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4A5C" w:rsidRDefault="00E72A4D" w:rsidP="003B6FC9">
      <w:pPr>
        <w:rPr>
          <w:rFonts w:ascii="Arial" w:eastAsia="Times New Roman" w:hAnsi="Arial" w:cs="Arial"/>
          <w:b/>
          <w:sz w:val="20"/>
          <w:szCs w:val="20"/>
        </w:rPr>
      </w:pPr>
      <w:r w:rsidRPr="00E72A4D">
        <w:rPr>
          <w:rFonts w:ascii="Arial" w:eastAsia="Times New Roman" w:hAnsi="Arial" w:cs="Arial"/>
          <w:b/>
          <w:sz w:val="20"/>
          <w:szCs w:val="20"/>
        </w:rPr>
        <w:t>Update from Gary Dunion, Parliamentary Officer at FOES, to the LINK Governance Group</w:t>
      </w:r>
      <w:r w:rsidR="00114A5C">
        <w:rPr>
          <w:rFonts w:ascii="Arial" w:eastAsia="Times New Roman" w:hAnsi="Arial" w:cs="Arial"/>
          <w:b/>
          <w:sz w:val="20"/>
          <w:szCs w:val="20"/>
        </w:rPr>
        <w:t xml:space="preserve"> </w:t>
      </w:r>
    </w:p>
    <w:p w:rsidR="003B6FC9" w:rsidRPr="00E72A4D" w:rsidRDefault="00E72A4D" w:rsidP="003B6FC9">
      <w:pPr>
        <w:rPr>
          <w:rFonts w:ascii="Arial" w:eastAsia="Times New Roman" w:hAnsi="Arial" w:cs="Arial"/>
          <w:b/>
          <w:sz w:val="20"/>
          <w:szCs w:val="20"/>
        </w:rPr>
      </w:pPr>
      <w:bookmarkStart w:id="0" w:name="_GoBack"/>
      <w:bookmarkEnd w:id="0"/>
      <w:r>
        <w:rPr>
          <w:rFonts w:ascii="Arial" w:eastAsia="Times New Roman" w:hAnsi="Arial" w:cs="Arial"/>
          <w:b/>
          <w:sz w:val="20"/>
          <w:szCs w:val="20"/>
        </w:rPr>
        <w:t>8 August 2017</w:t>
      </w:r>
    </w:p>
    <w:p w:rsidR="00E72A4D" w:rsidRPr="00E72A4D" w:rsidRDefault="00E72A4D" w:rsidP="003B6FC9">
      <w:pPr>
        <w:rPr>
          <w:rFonts w:ascii="Arial" w:eastAsia="Times New Roman" w:hAnsi="Arial" w:cs="Arial"/>
          <w:sz w:val="20"/>
          <w:szCs w:val="20"/>
        </w:rPr>
      </w:pPr>
    </w:p>
    <w:p w:rsidR="00E72A4D" w:rsidRPr="00E72A4D" w:rsidRDefault="00E72A4D" w:rsidP="003B6FC9">
      <w:pPr>
        <w:rPr>
          <w:rFonts w:ascii="Arial" w:eastAsia="Times New Roman" w:hAnsi="Arial" w:cs="Arial"/>
          <w:sz w:val="20"/>
          <w:szCs w:val="20"/>
        </w:rPr>
      </w:pPr>
      <w:r w:rsidRPr="00E72A4D">
        <w:rPr>
          <w:rFonts w:ascii="Arial" w:eastAsia="Times New Roman" w:hAnsi="Arial" w:cs="Arial"/>
          <w:sz w:val="20"/>
          <w:szCs w:val="20"/>
        </w:rPr>
        <w:t xml:space="preserve">Contact Gary with any queries </w:t>
      </w:r>
      <w:hyperlink r:id="rId4" w:history="1">
        <w:r w:rsidRPr="00E72A4D">
          <w:rPr>
            <w:rStyle w:val="Hyperlink"/>
            <w:rFonts w:ascii="Arial" w:eastAsia="Times New Roman" w:hAnsi="Arial" w:cs="Arial"/>
            <w:color w:val="05A94E"/>
            <w:sz w:val="20"/>
            <w:szCs w:val="20"/>
          </w:rPr>
          <w:t>gdunion@foe-scotland.org.uk</w:t>
        </w:r>
      </w:hyperlink>
    </w:p>
    <w:p w:rsidR="00E72A4D" w:rsidRPr="00E72A4D" w:rsidRDefault="00E72A4D" w:rsidP="003B6FC9">
      <w:pPr>
        <w:rPr>
          <w:rFonts w:ascii="Arial" w:eastAsia="Times New Roman" w:hAnsi="Arial" w:cs="Arial"/>
          <w:b/>
          <w:bCs/>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b/>
          <w:bCs/>
          <w:sz w:val="20"/>
          <w:szCs w:val="20"/>
        </w:rPr>
        <w:t>Timeline</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The Lobbying Group is advising Scottish Parliament officials on the guidance that will accompany the Register. A final draft of that will be published online during September, and will be available for final comments for a couple of weeks before it goes to Ministers for approval.</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(Since today’s meeting, I have asked the officials whether I can share the current draft of the guidance with LINK members. Failing that, I will alert LINK as soon as the draft is published so members can comment if necessary.)</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The online system for registering and submitting lobbying information returns will be active from October to February as a “familiarisation period” - essentially a dry run. We’ll be able to use this period to practice making returns and work out any problems with the system.</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The Act comes into force in mid-February, and from then anyone who carries out regulated lobbying will have to register and record their lobbying activity.  (“Regulated lobbying” is how the Act refers to lobbying activity that must be included in the register.) The Act requires you to register within 30 days of the first instance of regulated lobbying, so if you have a lobbying meeting on the day the Act comes into force, the deadline for registering will be mid-March. Organisations that lobby less frequently might have much longer to register.</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i/>
          <w:iCs/>
          <w:sz w:val="20"/>
          <w:szCs w:val="20"/>
        </w:rPr>
        <w:t>NB, in the meeting, I said this was six months, which was a mistake. This is true for the returns recording each lobbying activity, but the deadline for initial registration of your organisation is 30 days</w:t>
      </w:r>
      <w:r w:rsidRPr="00E72A4D">
        <w:rPr>
          <w:rFonts w:ascii="Arial" w:eastAsia="Times New Roman" w:hAnsi="Arial" w:cs="Arial"/>
          <w:sz w:val="20"/>
          <w:szCs w:val="20"/>
        </w:rPr>
        <w:t>.</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You will be able to add information to the register as you go - it doesn’t have to be in one big report. But the minimum frequency for updating the register is one return every six months.</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b/>
          <w:bCs/>
          <w:sz w:val="20"/>
          <w:szCs w:val="20"/>
        </w:rPr>
        <w:t>Code(s) of Conduct</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One thing I forgot to mention is that the Act requires the Parliament to produce a Code of Conduct for lobbyists. There’s no requirement on anyone to follow it, nor is there any enforcement mechanism. But the Lobbying Register will include a list of which registrants have and haven’t signed it.</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Each organisation’s entry in the Register will also include space to record any other codes of conduct / practice the registrant is signed up to. If helpful, I could circulate some already-existing Codes. LINK could of course create its own Lobbying Code and ask members to sign up to it, if members thought that would be helpful.</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b/>
          <w:bCs/>
          <w:sz w:val="20"/>
          <w:szCs w:val="20"/>
        </w:rPr>
        <w:t>Interpretation of the Act</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The guidance will include “5 Key Steps” for identifying whether a communication is regulated lobbying or not, which are a good starting point for understanding the scope of the Act:</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 xml:space="preserve">1. You communicated orally and face-to-face (or by videoconference) with an MSP, a </w:t>
      </w:r>
      <w:proofErr w:type="spellStart"/>
      <w:r w:rsidRPr="00E72A4D">
        <w:rPr>
          <w:rFonts w:ascii="Arial" w:eastAsia="Times New Roman" w:hAnsi="Arial" w:cs="Arial"/>
          <w:sz w:val="20"/>
          <w:szCs w:val="20"/>
        </w:rPr>
        <w:t>ScotGov</w:t>
      </w:r>
      <w:proofErr w:type="spellEnd"/>
      <w:r w:rsidRPr="00E72A4D">
        <w:rPr>
          <w:rFonts w:ascii="Arial" w:eastAsia="Times New Roman" w:hAnsi="Arial" w:cs="Arial"/>
          <w:sz w:val="20"/>
          <w:szCs w:val="20"/>
        </w:rPr>
        <w:t xml:space="preserve"> Minister, the Permanent Secretary or a Special Adviser.</w:t>
      </w: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 xml:space="preserve">2. The communication was in relation to </w:t>
      </w:r>
      <w:proofErr w:type="spellStart"/>
      <w:r w:rsidRPr="00E72A4D">
        <w:rPr>
          <w:rFonts w:ascii="Arial" w:eastAsia="Times New Roman" w:hAnsi="Arial" w:cs="Arial"/>
          <w:sz w:val="20"/>
          <w:szCs w:val="20"/>
        </w:rPr>
        <w:t>ScotGov</w:t>
      </w:r>
      <w:proofErr w:type="spellEnd"/>
      <w:r w:rsidRPr="00E72A4D">
        <w:rPr>
          <w:rFonts w:ascii="Arial" w:eastAsia="Times New Roman" w:hAnsi="Arial" w:cs="Arial"/>
          <w:sz w:val="20"/>
          <w:szCs w:val="20"/>
        </w:rPr>
        <w:t xml:space="preserve"> or </w:t>
      </w:r>
      <w:proofErr w:type="spellStart"/>
      <w:r w:rsidRPr="00E72A4D">
        <w:rPr>
          <w:rFonts w:ascii="Arial" w:eastAsia="Times New Roman" w:hAnsi="Arial" w:cs="Arial"/>
          <w:sz w:val="20"/>
          <w:szCs w:val="20"/>
        </w:rPr>
        <w:t>ScotParl</w:t>
      </w:r>
      <w:proofErr w:type="spellEnd"/>
      <w:r w:rsidRPr="00E72A4D">
        <w:rPr>
          <w:rFonts w:ascii="Arial" w:eastAsia="Times New Roman" w:hAnsi="Arial" w:cs="Arial"/>
          <w:sz w:val="20"/>
          <w:szCs w:val="20"/>
        </w:rPr>
        <w:t xml:space="preserve"> functions.</w:t>
      </w: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3. You used the communication to inform or influence decisions on behalf of your organisation or those you represent.</w:t>
      </w: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4. You are a paid individual, representing the views of your organisation or those you represent.</w:t>
      </w: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5. The lobbying is not excluded by any other exemption in the Act.</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Here's a simplified list of the exemptions (I’ve only included the ones likely to apply to LINK members):</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lastRenderedPageBreak/>
        <w:t>- You are an individual lobbying on your own behalf (i.e. not representing an organisation or anyone else)</w:t>
      </w: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 xml:space="preserve">- You are lobbying an MSP (who is </w:t>
      </w:r>
      <w:r w:rsidRPr="00E72A4D">
        <w:rPr>
          <w:rFonts w:ascii="Arial" w:eastAsia="Times New Roman" w:hAnsi="Arial" w:cs="Arial"/>
          <w:b/>
          <w:bCs/>
          <w:sz w:val="20"/>
          <w:szCs w:val="20"/>
        </w:rPr>
        <w:t xml:space="preserve">not </w:t>
      </w:r>
      <w:r w:rsidRPr="00E72A4D">
        <w:rPr>
          <w:rFonts w:ascii="Arial" w:eastAsia="Times New Roman" w:hAnsi="Arial" w:cs="Arial"/>
          <w:sz w:val="20"/>
          <w:szCs w:val="20"/>
        </w:rPr>
        <w:t>a Minister) for the constituency or region in which your organisation’s business/activity is ordinarily carried on</w:t>
      </w: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 You are representing an organisation with fewer than 10 FTE employees, which is also not a representative group (LINK itself is an example of a representative group, so is not excluded by this exemption, but most LINK members will be exempt.)</w:t>
      </w: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 The communication was made in proceedings of the Scottish Parliament, or a quorate meeting of a Cross-Party Group</w:t>
      </w: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 The communication was a response to a request from the lobbied person for factual information or views on the topic</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Below are the questions you raised by email, and those asked during the meeting today (as far as I remember!). If I’ve missed any, or if LINK members have any other questions, please let me know and if I can’t answer them myself I will put them to the Parliament officials.</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b/>
          <w:bCs/>
          <w:sz w:val="20"/>
          <w:szCs w:val="20"/>
        </w:rPr>
        <w:t>Do you have to register a chance meeting with a politician in the street or at a party conference?</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Yes, if it otherwise fulfils the definition of regulated lobbying. If you don’t talk about Government or Parliament business then it isn’t lobbying, but if you do then it is likely to be.</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b/>
          <w:bCs/>
          <w:sz w:val="20"/>
          <w:szCs w:val="20"/>
        </w:rPr>
        <w:t>If you organise an event, are you responsible for registering lobbying that takes place there?</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Only lobbying by your own staff. If another organisation attends your event and carries out lobbying there, they are responsible for registering it themselves.</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b/>
          <w:bCs/>
          <w:sz w:val="20"/>
          <w:szCs w:val="20"/>
        </w:rPr>
        <w:t>Who is responsible for registering lobbying on behalf of LINK?</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LINK must register lobbying by its directly-employed staff. Lobbying by staff of member organisations is the responsibility of those organisations, even if the lobbying was on behalf of the coalition.</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b/>
          <w:bCs/>
          <w:sz w:val="20"/>
          <w:szCs w:val="20"/>
        </w:rPr>
        <w:t xml:space="preserve">Do you have to register </w:t>
      </w:r>
      <w:proofErr w:type="gramStart"/>
      <w:r w:rsidRPr="00E72A4D">
        <w:rPr>
          <w:rFonts w:ascii="Arial" w:eastAsia="Times New Roman" w:hAnsi="Arial" w:cs="Arial"/>
          <w:b/>
          <w:bCs/>
          <w:sz w:val="20"/>
          <w:szCs w:val="20"/>
        </w:rPr>
        <w:t>an</w:t>
      </w:r>
      <w:proofErr w:type="gramEnd"/>
      <w:r w:rsidRPr="00E72A4D">
        <w:rPr>
          <w:rFonts w:ascii="Arial" w:eastAsia="Times New Roman" w:hAnsi="Arial" w:cs="Arial"/>
          <w:b/>
          <w:bCs/>
          <w:sz w:val="20"/>
          <w:szCs w:val="20"/>
        </w:rPr>
        <w:t xml:space="preserve"> MSPs visit to, e.g., a reserve, during which they talk to local staff?</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In principle yes, although in practice one or both of these exemptions is likely to be triggered, meaning it would not need to be registered:</w:t>
      </w: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 Communication about e.g. conservation work of the organisation is not lobbying since it does not relate to Government or Parliament business, and</w:t>
      </w: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 Even if staff do discuss policy, they are exempt if the MSP is the constituency or region MSP for the local area the staff work in (unless that MSP is also a Minister).</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b/>
          <w:bCs/>
          <w:sz w:val="20"/>
          <w:szCs w:val="20"/>
        </w:rPr>
        <w:t>Can you clarify the scope of exemptions for smaller bodies?</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Lobbying by an organisation with fewer than 10 full-time equivalent staff is exempt, unless:</w:t>
      </w: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 One of the organisation’s “principle purposes” is to “represent the interests of other persons”.</w:t>
      </w: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 xml:space="preserve">(This is being interpreted as including coalitions like LINK </w:t>
      </w:r>
      <w:proofErr w:type="gramStart"/>
      <w:r w:rsidRPr="00E72A4D">
        <w:rPr>
          <w:rFonts w:ascii="Arial" w:eastAsia="Times New Roman" w:hAnsi="Arial" w:cs="Arial"/>
          <w:sz w:val="20"/>
          <w:szCs w:val="20"/>
        </w:rPr>
        <w:t>and  organisations</w:t>
      </w:r>
      <w:proofErr w:type="gramEnd"/>
      <w:r w:rsidRPr="00E72A4D">
        <w:rPr>
          <w:rFonts w:ascii="Arial" w:eastAsia="Times New Roman" w:hAnsi="Arial" w:cs="Arial"/>
          <w:sz w:val="20"/>
          <w:szCs w:val="20"/>
        </w:rPr>
        <w:t xml:space="preserve"> like trade unions and professional </w:t>
      </w:r>
      <w:proofErr w:type="spellStart"/>
      <w:r w:rsidRPr="00E72A4D">
        <w:rPr>
          <w:rFonts w:ascii="Arial" w:eastAsia="Times New Roman" w:hAnsi="Arial" w:cs="Arial"/>
          <w:sz w:val="20"/>
          <w:szCs w:val="20"/>
        </w:rPr>
        <w:t>organisationsthat</w:t>
      </w:r>
      <w:proofErr w:type="spellEnd"/>
      <w:r w:rsidRPr="00E72A4D">
        <w:rPr>
          <w:rFonts w:ascii="Arial" w:eastAsia="Times New Roman" w:hAnsi="Arial" w:cs="Arial"/>
          <w:sz w:val="20"/>
          <w:szCs w:val="20"/>
        </w:rPr>
        <w:t xml:space="preserve"> directly represent their own individual members , but </w:t>
      </w:r>
      <w:r w:rsidRPr="00E72A4D">
        <w:rPr>
          <w:rFonts w:ascii="Arial" w:eastAsia="Times New Roman" w:hAnsi="Arial" w:cs="Arial"/>
          <w:b/>
          <w:bCs/>
          <w:sz w:val="20"/>
          <w:szCs w:val="20"/>
        </w:rPr>
        <w:t>not</w:t>
      </w:r>
      <w:r w:rsidRPr="00E72A4D">
        <w:rPr>
          <w:rFonts w:ascii="Arial" w:eastAsia="Times New Roman" w:hAnsi="Arial" w:cs="Arial"/>
          <w:sz w:val="20"/>
          <w:szCs w:val="20"/>
        </w:rPr>
        <w:t xml:space="preserve"> including e.g. a health charity that advocates for everyone with a particular illness.)</w:t>
      </w: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 The lobbying is being done on behalf of a third party, not the small organisation itself</w:t>
      </w: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w:t>
      </w:r>
      <w:proofErr w:type="gramStart"/>
      <w:r w:rsidRPr="00E72A4D">
        <w:rPr>
          <w:rFonts w:ascii="Arial" w:eastAsia="Times New Roman" w:hAnsi="Arial" w:cs="Arial"/>
          <w:sz w:val="20"/>
          <w:szCs w:val="20"/>
        </w:rPr>
        <w:t>e.g</w:t>
      </w:r>
      <w:proofErr w:type="gramEnd"/>
      <w:r w:rsidRPr="00E72A4D">
        <w:rPr>
          <w:rFonts w:ascii="Arial" w:eastAsia="Times New Roman" w:hAnsi="Arial" w:cs="Arial"/>
          <w:sz w:val="20"/>
          <w:szCs w:val="20"/>
        </w:rPr>
        <w:t>. a small public affairs consultancy lobbying on behalf of a client is not exempt)</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b/>
          <w:bCs/>
          <w:sz w:val="20"/>
          <w:szCs w:val="20"/>
        </w:rPr>
        <w:t>What sanctions are there for failing to register regulated lobbying?</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b/>
          <w:bCs/>
          <w:sz w:val="20"/>
          <w:szCs w:val="20"/>
        </w:rPr>
        <w:t>Action by the Clerk’s officials</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If the Lobbying Register officials notice an omission or error, their first response will be to contact the lobbying organisation informally and ask them to clarify, correct or complete their information return.</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lastRenderedPageBreak/>
        <w:t>If this doesn’t resolve the situation, the Clerk of the Scottish Parliament may issue an Information Notice requiring the provision of the relevant information. Failure to comply with an Information Notice is an offence, punishable on summary conviction by a fine not exceeding level 3 (£1,000).</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b/>
          <w:bCs/>
          <w:sz w:val="20"/>
          <w:szCs w:val="20"/>
        </w:rPr>
        <w:t>Complaint to the Commissioner</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If a third party believes someone has failed to register complete and accurate information, they can make a complaint to the Commissioner for Ethical Standards in Public Life in Scotland. The Commissioner will investigate and make a report to Parliament. Parliament can then either censure the person, or take no further action. Failure to co-operate with a Commissioner’s inquiry is an offence, again carrying a fine of up to £1,000.</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b/>
          <w:bCs/>
          <w:sz w:val="20"/>
          <w:szCs w:val="20"/>
        </w:rPr>
        <w:t>Criminal complaint</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Failure to provide the required information is itself a criminal offence, and could be reported to the police. However, both the police and the Procurator Fiscal would need to be convinced of the public interest in pursuing the complaint, so this is unlikely to result in any action except in cases of serious and deliberate evasion of the law.</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b/>
          <w:bCs/>
          <w:sz w:val="20"/>
          <w:szCs w:val="20"/>
        </w:rPr>
        <w:t>What protection is there against vexatious complaints?</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r w:rsidRPr="00E72A4D">
        <w:rPr>
          <w:rFonts w:ascii="Arial" w:eastAsia="Times New Roman" w:hAnsi="Arial" w:cs="Arial"/>
          <w:sz w:val="20"/>
          <w:szCs w:val="20"/>
        </w:rPr>
        <w:t>Lloyd raised this at the meeting and I didn’t know the answer! Having looked again at the Act, the important clause is one that gives the Scottish Parliament the power to issue directions to the Commissioner, which can include setting out circumstances under which the Commissioner should not pursue a complaint (Section 31(2</w:t>
      </w:r>
      <w:proofErr w:type="gramStart"/>
      <w:r w:rsidRPr="00E72A4D">
        <w:rPr>
          <w:rFonts w:ascii="Arial" w:eastAsia="Times New Roman" w:hAnsi="Arial" w:cs="Arial"/>
          <w:sz w:val="20"/>
          <w:szCs w:val="20"/>
        </w:rPr>
        <w:t>)(</w:t>
      </w:r>
      <w:proofErr w:type="gramEnd"/>
      <w:r w:rsidRPr="00E72A4D">
        <w:rPr>
          <w:rFonts w:ascii="Arial" w:eastAsia="Times New Roman" w:hAnsi="Arial" w:cs="Arial"/>
          <w:sz w:val="20"/>
          <w:szCs w:val="20"/>
        </w:rPr>
        <w:t>b) if you want to see the text). I will raise this with the officials to make sure they are thinking about how to use these directions to protect people from vexatious complaints.</w:t>
      </w:r>
    </w:p>
    <w:p w:rsidR="003B6FC9" w:rsidRPr="00E72A4D" w:rsidRDefault="003B6FC9" w:rsidP="003B6FC9">
      <w:pPr>
        <w:rPr>
          <w:rFonts w:ascii="Arial" w:eastAsia="Times New Roman" w:hAnsi="Arial" w:cs="Arial"/>
          <w:sz w:val="20"/>
          <w:szCs w:val="20"/>
        </w:rPr>
      </w:pPr>
    </w:p>
    <w:p w:rsidR="003B6FC9" w:rsidRPr="00E72A4D" w:rsidRDefault="003B6FC9" w:rsidP="003B6FC9">
      <w:pPr>
        <w:rPr>
          <w:rFonts w:ascii="Arial" w:eastAsia="Times New Roman" w:hAnsi="Arial" w:cs="Arial"/>
          <w:sz w:val="20"/>
          <w:szCs w:val="20"/>
        </w:rPr>
      </w:pPr>
    </w:p>
    <w:p w:rsidR="001E0CFB" w:rsidRPr="00E72A4D" w:rsidRDefault="00E72A4D">
      <w:pPr>
        <w:rPr>
          <w:rFonts w:ascii="Arial" w:hAnsi="Arial" w:cs="Arial"/>
          <w:sz w:val="20"/>
          <w:szCs w:val="20"/>
        </w:rPr>
      </w:pPr>
      <w:r>
        <w:rPr>
          <w:rFonts w:ascii="Arial" w:hAnsi="Arial" w:cs="Arial"/>
          <w:sz w:val="20"/>
          <w:szCs w:val="20"/>
        </w:rPr>
        <w:t>//ends//</w:t>
      </w:r>
    </w:p>
    <w:sectPr w:rsidR="001E0CFB" w:rsidRPr="00E72A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FC9"/>
    <w:rsid w:val="00012965"/>
    <w:rsid w:val="00114A5C"/>
    <w:rsid w:val="001E0CFB"/>
    <w:rsid w:val="003B6FC9"/>
    <w:rsid w:val="00E72A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116DC6-071F-40C0-B53E-24B6FA885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6FC9"/>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B6FC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010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gdunion@foe-scotland.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1275</Words>
  <Characters>7271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Webb</dc:creator>
  <cp:keywords/>
  <dc:description/>
  <cp:lastModifiedBy>Lisa Webb</cp:lastModifiedBy>
  <cp:revision>3</cp:revision>
  <dcterms:created xsi:type="dcterms:W3CDTF">2017-08-15T11:51:00Z</dcterms:created>
  <dcterms:modified xsi:type="dcterms:W3CDTF">2017-08-15T14:44:00Z</dcterms:modified>
</cp:coreProperties>
</file>