
<file path=[Content_Types].xml><?xml version="1.0" encoding="utf-8"?>
<Types xmlns="http://schemas.openxmlformats.org/package/2006/content-types">
  <Default Extension="xml" ContentType="application/xml"/>
  <Default Extension="tif" ContentType="image/tif"/>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C44D1A" w14:textId="77777777" w:rsidR="00950E2A" w:rsidRDefault="00950E2A">
      <w:pPr>
        <w:pStyle w:val="Body"/>
        <w:rPr>
          <w:rFonts w:ascii="Verdana" w:hAnsi="Verdana" w:cs="Times New Roman"/>
          <w:b/>
          <w:bCs/>
          <w:sz w:val="22"/>
          <w:szCs w:val="22"/>
        </w:rPr>
      </w:pPr>
    </w:p>
    <w:p w14:paraId="163722F6" w14:textId="77777777" w:rsidR="00950E2A" w:rsidRDefault="00950E2A">
      <w:pPr>
        <w:pStyle w:val="Body"/>
        <w:rPr>
          <w:rFonts w:ascii="Verdana" w:hAnsi="Verdana" w:cs="Times New Roman"/>
          <w:b/>
          <w:bCs/>
          <w:sz w:val="22"/>
          <w:szCs w:val="22"/>
        </w:rPr>
      </w:pPr>
    </w:p>
    <w:p w14:paraId="02CEA628" w14:textId="77777777" w:rsidR="00950E2A" w:rsidRDefault="00950E2A">
      <w:pPr>
        <w:pStyle w:val="Body"/>
        <w:rPr>
          <w:rFonts w:ascii="Verdana" w:hAnsi="Verdana" w:cs="Times New Roman"/>
          <w:b/>
          <w:bCs/>
          <w:sz w:val="22"/>
          <w:szCs w:val="22"/>
        </w:rPr>
      </w:pPr>
    </w:p>
    <w:p w14:paraId="4C3F4B1A" w14:textId="77777777" w:rsidR="0045389F" w:rsidRPr="00950E2A" w:rsidRDefault="00AB4F16" w:rsidP="00950E2A">
      <w:pPr>
        <w:pStyle w:val="Body"/>
        <w:jc w:val="center"/>
        <w:rPr>
          <w:rFonts w:ascii="Verdana" w:hAnsi="Verdana" w:cs="Times New Roman"/>
          <w:b/>
          <w:bCs/>
          <w:sz w:val="28"/>
          <w:szCs w:val="28"/>
        </w:rPr>
      </w:pPr>
      <w:r w:rsidRPr="00950E2A">
        <w:rPr>
          <w:rFonts w:ascii="Verdana" w:hAnsi="Verdana" w:cs="Times New Roman"/>
          <w:b/>
          <w:bCs/>
          <w:sz w:val="28"/>
          <w:szCs w:val="28"/>
        </w:rPr>
        <w:t>BRIEFING ON NPF/SCOTLAND PERFORMS AND RELATED AREAS</w:t>
      </w:r>
    </w:p>
    <w:p w14:paraId="333100AF" w14:textId="77777777" w:rsidR="0045389F" w:rsidRDefault="0045389F">
      <w:pPr>
        <w:pStyle w:val="Body"/>
        <w:rPr>
          <w:rFonts w:ascii="Verdana" w:hAnsi="Verdana" w:cs="Times New Roman"/>
          <w:b/>
          <w:bCs/>
          <w:sz w:val="22"/>
          <w:szCs w:val="22"/>
        </w:rPr>
      </w:pPr>
    </w:p>
    <w:p w14:paraId="551809A7" w14:textId="77777777" w:rsidR="00950E2A" w:rsidRPr="0093704C" w:rsidRDefault="00950E2A">
      <w:pPr>
        <w:pStyle w:val="Body"/>
        <w:rPr>
          <w:rFonts w:ascii="Verdana" w:hAnsi="Verdana" w:cs="Times New Roman"/>
          <w:b/>
          <w:bCs/>
          <w:sz w:val="22"/>
          <w:szCs w:val="22"/>
        </w:rPr>
      </w:pPr>
    </w:p>
    <w:p w14:paraId="79F4040D" w14:textId="734084E3" w:rsidR="0045389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CONTENTS</w:t>
      </w:r>
    </w:p>
    <w:p w14:paraId="56541899" w14:textId="77777777" w:rsidR="008B4AAF" w:rsidRPr="0093704C" w:rsidRDefault="008B4AAF">
      <w:pPr>
        <w:pStyle w:val="Body"/>
        <w:rPr>
          <w:rFonts w:ascii="Verdana" w:hAnsi="Verdana" w:cs="Times New Roman"/>
          <w:b/>
          <w:bCs/>
          <w:sz w:val="22"/>
          <w:szCs w:val="22"/>
        </w:rPr>
      </w:pPr>
    </w:p>
    <w:p w14:paraId="0D36FA78" w14:textId="00C5D763"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Summary</w:t>
      </w:r>
    </w:p>
    <w:p w14:paraId="113386C4" w14:textId="77777777" w:rsidR="008B4AAF" w:rsidRPr="0093704C" w:rsidRDefault="008B4AAF">
      <w:pPr>
        <w:pStyle w:val="Body"/>
        <w:rPr>
          <w:rFonts w:ascii="Verdana" w:hAnsi="Verdana" w:cs="Times New Roman"/>
          <w:b/>
          <w:bCs/>
          <w:sz w:val="22"/>
          <w:szCs w:val="22"/>
        </w:rPr>
      </w:pPr>
    </w:p>
    <w:p w14:paraId="40E49DB3" w14:textId="374EE7E7"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1</w:t>
      </w:r>
      <w:r w:rsidRPr="0093704C">
        <w:rPr>
          <w:rFonts w:ascii="Verdana" w:hAnsi="Verdana" w:cs="Times New Roman"/>
          <w:b/>
          <w:bCs/>
          <w:sz w:val="22"/>
          <w:szCs w:val="22"/>
        </w:rPr>
        <w:tab/>
        <w:t>Introduction</w:t>
      </w:r>
    </w:p>
    <w:p w14:paraId="7D70D9D7" w14:textId="77777777" w:rsidR="008B4AAF" w:rsidRPr="0093704C" w:rsidRDefault="008B4AAF">
      <w:pPr>
        <w:pStyle w:val="Body"/>
        <w:rPr>
          <w:rFonts w:ascii="Verdana" w:hAnsi="Verdana" w:cs="Times New Roman"/>
          <w:b/>
          <w:bCs/>
          <w:sz w:val="22"/>
          <w:szCs w:val="22"/>
        </w:rPr>
      </w:pPr>
    </w:p>
    <w:p w14:paraId="1D82A05E" w14:textId="14CD274D"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2</w:t>
      </w:r>
      <w:r w:rsidRPr="0093704C">
        <w:rPr>
          <w:rFonts w:ascii="Verdana" w:hAnsi="Verdana" w:cs="Times New Roman"/>
          <w:b/>
          <w:bCs/>
          <w:sz w:val="22"/>
          <w:szCs w:val="22"/>
        </w:rPr>
        <w:tab/>
      </w:r>
      <w:r w:rsidR="00370ECE">
        <w:rPr>
          <w:rFonts w:ascii="Verdana" w:hAnsi="Verdana" w:cs="Times New Roman"/>
          <w:b/>
          <w:bCs/>
          <w:sz w:val="22"/>
          <w:szCs w:val="22"/>
        </w:rPr>
        <w:t xml:space="preserve">The </w:t>
      </w:r>
      <w:r w:rsidRPr="0093704C">
        <w:rPr>
          <w:rFonts w:ascii="Verdana" w:hAnsi="Verdana" w:cs="Times New Roman"/>
          <w:b/>
          <w:bCs/>
          <w:sz w:val="22"/>
          <w:szCs w:val="22"/>
        </w:rPr>
        <w:t>National Performance Framework</w:t>
      </w:r>
    </w:p>
    <w:p w14:paraId="6D6204D7" w14:textId="77777777" w:rsidR="008B4AAF" w:rsidRPr="0093704C" w:rsidRDefault="008B4AAF">
      <w:pPr>
        <w:pStyle w:val="Body"/>
        <w:rPr>
          <w:rFonts w:ascii="Verdana" w:hAnsi="Verdana" w:cs="Times New Roman"/>
          <w:b/>
          <w:bCs/>
          <w:sz w:val="22"/>
          <w:szCs w:val="22"/>
        </w:rPr>
      </w:pPr>
    </w:p>
    <w:p w14:paraId="692353C5" w14:textId="734D10D5"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3</w:t>
      </w:r>
      <w:r w:rsidRPr="0093704C">
        <w:rPr>
          <w:rFonts w:ascii="Verdana" w:hAnsi="Verdana" w:cs="Times New Roman"/>
          <w:b/>
          <w:bCs/>
          <w:sz w:val="22"/>
          <w:szCs w:val="22"/>
        </w:rPr>
        <w:tab/>
        <w:t>The Wider Context</w:t>
      </w:r>
    </w:p>
    <w:p w14:paraId="54419710" w14:textId="019C9566"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3.1</w:t>
      </w:r>
      <w:r w:rsidRPr="0093704C">
        <w:rPr>
          <w:rFonts w:ascii="Verdana" w:hAnsi="Verdana" w:cs="Times New Roman"/>
          <w:bCs/>
          <w:sz w:val="22"/>
          <w:szCs w:val="22"/>
        </w:rPr>
        <w:tab/>
        <w:t>Sustainable Development and Sustainable Economic Growth</w:t>
      </w:r>
    </w:p>
    <w:p w14:paraId="6E8BBB47" w14:textId="225B5677"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3.2</w:t>
      </w:r>
      <w:r w:rsidRPr="0093704C">
        <w:rPr>
          <w:rFonts w:ascii="Verdana" w:hAnsi="Verdana" w:cs="Times New Roman"/>
          <w:bCs/>
          <w:sz w:val="22"/>
          <w:szCs w:val="22"/>
        </w:rPr>
        <w:tab/>
        <w:t>GDP and Beyond GDP</w:t>
      </w:r>
    </w:p>
    <w:p w14:paraId="5A7FDFB6" w14:textId="76B62C8B" w:rsidR="005F68DE" w:rsidRPr="0093704C" w:rsidRDefault="005F68DE">
      <w:pPr>
        <w:pStyle w:val="Body"/>
        <w:rPr>
          <w:rFonts w:ascii="Verdana" w:hAnsi="Verdana" w:cs="Times New Roman"/>
          <w:bCs/>
          <w:sz w:val="22"/>
          <w:szCs w:val="22"/>
        </w:rPr>
      </w:pPr>
      <w:r w:rsidRPr="0093704C">
        <w:rPr>
          <w:rFonts w:ascii="Verdana" w:hAnsi="Verdana" w:cs="Times New Roman"/>
          <w:bCs/>
          <w:sz w:val="22"/>
          <w:szCs w:val="22"/>
        </w:rPr>
        <w:t>3.3</w:t>
      </w:r>
      <w:r w:rsidRPr="0093704C">
        <w:rPr>
          <w:rFonts w:ascii="Verdana" w:hAnsi="Verdana" w:cs="Times New Roman"/>
          <w:bCs/>
          <w:sz w:val="22"/>
          <w:szCs w:val="22"/>
        </w:rPr>
        <w:tab/>
        <w:t>The System of National Accounts</w:t>
      </w:r>
    </w:p>
    <w:p w14:paraId="6F1C0E3E" w14:textId="77777777" w:rsidR="008B4AAF" w:rsidRPr="0093704C" w:rsidRDefault="008B4AAF">
      <w:pPr>
        <w:pStyle w:val="Body"/>
        <w:rPr>
          <w:rFonts w:ascii="Verdana" w:hAnsi="Verdana" w:cs="Times New Roman"/>
          <w:b/>
          <w:bCs/>
          <w:sz w:val="22"/>
          <w:szCs w:val="22"/>
        </w:rPr>
      </w:pPr>
    </w:p>
    <w:p w14:paraId="2510CE80" w14:textId="695A369D"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4</w:t>
      </w:r>
      <w:r w:rsidRPr="0093704C">
        <w:rPr>
          <w:rFonts w:ascii="Verdana" w:hAnsi="Verdana" w:cs="Times New Roman"/>
          <w:b/>
          <w:bCs/>
          <w:sz w:val="22"/>
          <w:szCs w:val="22"/>
        </w:rPr>
        <w:tab/>
        <w:t>Alternative Measures of Wellbeing and Sustainability</w:t>
      </w:r>
    </w:p>
    <w:p w14:paraId="10CED1FB" w14:textId="44EE1A39"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4.1</w:t>
      </w:r>
      <w:r w:rsidRPr="0093704C">
        <w:rPr>
          <w:rFonts w:ascii="Verdana" w:hAnsi="Verdana" w:cs="Times New Roman"/>
          <w:bCs/>
          <w:sz w:val="22"/>
          <w:szCs w:val="22"/>
        </w:rPr>
        <w:tab/>
        <w:t>Assessing wellbeing</w:t>
      </w:r>
    </w:p>
    <w:p w14:paraId="64609022" w14:textId="277A82E2"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4.11</w:t>
      </w:r>
      <w:r w:rsidRPr="0093704C">
        <w:rPr>
          <w:rFonts w:ascii="Verdana" w:hAnsi="Verdana" w:cs="Times New Roman"/>
          <w:bCs/>
          <w:sz w:val="22"/>
          <w:szCs w:val="22"/>
        </w:rPr>
        <w:tab/>
        <w:t>Quality of life indicator sets</w:t>
      </w:r>
    </w:p>
    <w:p w14:paraId="67865512" w14:textId="5904C1A7"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4.12</w:t>
      </w:r>
      <w:r w:rsidRPr="0093704C">
        <w:rPr>
          <w:rFonts w:ascii="Verdana" w:hAnsi="Verdana" w:cs="Times New Roman"/>
          <w:bCs/>
          <w:sz w:val="22"/>
          <w:szCs w:val="22"/>
        </w:rPr>
        <w:tab/>
        <w:t>Composite quality of life indicators</w:t>
      </w:r>
    </w:p>
    <w:p w14:paraId="21FBEECC" w14:textId="003B14CC"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4.13</w:t>
      </w:r>
      <w:r w:rsidRPr="0093704C">
        <w:rPr>
          <w:rFonts w:ascii="Verdana" w:hAnsi="Verdana" w:cs="Times New Roman"/>
          <w:bCs/>
          <w:sz w:val="22"/>
          <w:szCs w:val="22"/>
        </w:rPr>
        <w:tab/>
        <w:t>Indicators of subjective wellbeing</w:t>
      </w:r>
    </w:p>
    <w:p w14:paraId="268610B1" w14:textId="1B4EF30D"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4.14</w:t>
      </w:r>
      <w:r w:rsidRPr="0093704C">
        <w:rPr>
          <w:rFonts w:ascii="Verdana" w:hAnsi="Verdana" w:cs="Times New Roman"/>
          <w:bCs/>
          <w:sz w:val="22"/>
          <w:szCs w:val="22"/>
        </w:rPr>
        <w:tab/>
        <w:t>Modified economic indicators</w:t>
      </w:r>
    </w:p>
    <w:p w14:paraId="759975F3" w14:textId="77777777" w:rsidR="008B4AAF" w:rsidRPr="0093704C" w:rsidRDefault="008B4AAF">
      <w:pPr>
        <w:pStyle w:val="Body"/>
        <w:rPr>
          <w:rFonts w:ascii="Verdana" w:hAnsi="Verdana" w:cs="Times New Roman"/>
          <w:b/>
          <w:bCs/>
          <w:sz w:val="22"/>
          <w:szCs w:val="22"/>
        </w:rPr>
      </w:pPr>
    </w:p>
    <w:p w14:paraId="3ECF00AE" w14:textId="78122A50"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4.2</w:t>
      </w:r>
      <w:r w:rsidRPr="0093704C">
        <w:rPr>
          <w:rFonts w:ascii="Verdana" w:hAnsi="Verdana" w:cs="Times New Roman"/>
          <w:b/>
          <w:bCs/>
          <w:sz w:val="22"/>
          <w:szCs w:val="22"/>
        </w:rPr>
        <w:tab/>
        <w:t xml:space="preserve">Assessing sustainability </w:t>
      </w:r>
    </w:p>
    <w:p w14:paraId="6BEE3645" w14:textId="509A7128" w:rsidR="008B4AAF" w:rsidRPr="0093704C" w:rsidRDefault="003442B7">
      <w:pPr>
        <w:pStyle w:val="Body"/>
        <w:rPr>
          <w:rFonts w:ascii="Verdana" w:hAnsi="Verdana" w:cs="Times New Roman"/>
          <w:bCs/>
          <w:sz w:val="22"/>
          <w:szCs w:val="22"/>
        </w:rPr>
      </w:pPr>
      <w:r w:rsidRPr="0093704C">
        <w:rPr>
          <w:rFonts w:ascii="Verdana" w:hAnsi="Verdana" w:cs="Times New Roman"/>
          <w:bCs/>
          <w:sz w:val="22"/>
          <w:szCs w:val="22"/>
        </w:rPr>
        <w:t>4.21</w:t>
      </w:r>
      <w:r w:rsidRPr="0093704C">
        <w:rPr>
          <w:rFonts w:ascii="Verdana" w:hAnsi="Verdana" w:cs="Times New Roman"/>
          <w:bCs/>
          <w:sz w:val="22"/>
          <w:szCs w:val="22"/>
        </w:rPr>
        <w:tab/>
        <w:t>Ecological F</w:t>
      </w:r>
      <w:r w:rsidR="008B4AAF" w:rsidRPr="0093704C">
        <w:rPr>
          <w:rFonts w:ascii="Verdana" w:hAnsi="Verdana" w:cs="Times New Roman"/>
          <w:bCs/>
          <w:sz w:val="22"/>
          <w:szCs w:val="22"/>
        </w:rPr>
        <w:t>ootprint</w:t>
      </w:r>
    </w:p>
    <w:p w14:paraId="2CA4F4F8" w14:textId="4FE706A5" w:rsidR="008B4AAF" w:rsidRPr="0093704C" w:rsidRDefault="003442B7">
      <w:pPr>
        <w:pStyle w:val="Body"/>
        <w:rPr>
          <w:rFonts w:ascii="Verdana" w:hAnsi="Verdana" w:cs="Times New Roman"/>
          <w:bCs/>
          <w:sz w:val="22"/>
          <w:szCs w:val="22"/>
        </w:rPr>
      </w:pPr>
      <w:r w:rsidRPr="0093704C">
        <w:rPr>
          <w:rFonts w:ascii="Verdana" w:hAnsi="Verdana" w:cs="Times New Roman"/>
          <w:bCs/>
          <w:sz w:val="22"/>
          <w:szCs w:val="22"/>
        </w:rPr>
        <w:t>4.22</w:t>
      </w:r>
      <w:r w:rsidRPr="0093704C">
        <w:rPr>
          <w:rFonts w:ascii="Verdana" w:hAnsi="Verdana" w:cs="Times New Roman"/>
          <w:bCs/>
          <w:sz w:val="22"/>
          <w:szCs w:val="22"/>
        </w:rPr>
        <w:tab/>
        <w:t>Four F</w:t>
      </w:r>
      <w:r w:rsidR="008B4AAF" w:rsidRPr="0093704C">
        <w:rPr>
          <w:rFonts w:ascii="Verdana" w:hAnsi="Verdana" w:cs="Times New Roman"/>
          <w:bCs/>
          <w:sz w:val="22"/>
          <w:szCs w:val="22"/>
        </w:rPr>
        <w:t>ootprints</w:t>
      </w:r>
    </w:p>
    <w:p w14:paraId="4AD1495B" w14:textId="53D5FC1A"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4.23</w:t>
      </w:r>
      <w:r w:rsidRPr="0093704C">
        <w:rPr>
          <w:rFonts w:ascii="Verdana" w:hAnsi="Verdana" w:cs="Times New Roman"/>
          <w:bCs/>
          <w:sz w:val="22"/>
          <w:szCs w:val="22"/>
        </w:rPr>
        <w:tab/>
        <w:t>Natural Capital Asset index</w:t>
      </w:r>
    </w:p>
    <w:p w14:paraId="1D9841C2" w14:textId="347CDCE8"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4.24</w:t>
      </w:r>
      <w:r w:rsidRPr="0093704C">
        <w:rPr>
          <w:rFonts w:ascii="Verdana" w:hAnsi="Verdana" w:cs="Times New Roman"/>
          <w:bCs/>
          <w:sz w:val="22"/>
          <w:szCs w:val="22"/>
        </w:rPr>
        <w:tab/>
        <w:t>Environmental Performance Index</w:t>
      </w:r>
    </w:p>
    <w:p w14:paraId="54234E46" w14:textId="2C7C970C"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4.25</w:t>
      </w:r>
      <w:r w:rsidRPr="0093704C">
        <w:rPr>
          <w:rFonts w:ascii="Verdana" w:hAnsi="Verdana" w:cs="Times New Roman"/>
          <w:bCs/>
          <w:sz w:val="22"/>
          <w:szCs w:val="22"/>
        </w:rPr>
        <w:tab/>
        <w:t>Ecological Rucksack</w:t>
      </w:r>
    </w:p>
    <w:p w14:paraId="3A5A124B" w14:textId="77777777" w:rsidR="008B4AAF" w:rsidRPr="0093704C" w:rsidRDefault="008B4AAF">
      <w:pPr>
        <w:pStyle w:val="Body"/>
        <w:rPr>
          <w:rFonts w:ascii="Verdana" w:hAnsi="Verdana" w:cs="Times New Roman"/>
          <w:b/>
          <w:bCs/>
          <w:sz w:val="22"/>
          <w:szCs w:val="22"/>
        </w:rPr>
      </w:pPr>
    </w:p>
    <w:p w14:paraId="42BB6BFE" w14:textId="25A595DC" w:rsidR="008B4AAF" w:rsidRPr="0093704C" w:rsidRDefault="008B4AAF">
      <w:pPr>
        <w:pStyle w:val="Body"/>
        <w:rPr>
          <w:rFonts w:ascii="Verdana" w:hAnsi="Verdana" w:cs="Times New Roman"/>
          <w:b/>
          <w:bCs/>
          <w:sz w:val="22"/>
          <w:szCs w:val="22"/>
        </w:rPr>
      </w:pPr>
      <w:r w:rsidRPr="0093704C">
        <w:rPr>
          <w:rFonts w:ascii="Verdana" w:hAnsi="Verdana" w:cs="Times New Roman"/>
          <w:b/>
          <w:bCs/>
          <w:sz w:val="22"/>
          <w:szCs w:val="22"/>
        </w:rPr>
        <w:t>4.3</w:t>
      </w:r>
      <w:r w:rsidRPr="0093704C">
        <w:rPr>
          <w:rFonts w:ascii="Verdana" w:hAnsi="Verdana" w:cs="Times New Roman"/>
          <w:b/>
          <w:bCs/>
          <w:sz w:val="22"/>
          <w:szCs w:val="22"/>
        </w:rPr>
        <w:tab/>
        <w:t>Frameworks</w:t>
      </w:r>
    </w:p>
    <w:p w14:paraId="2B2AD7CD" w14:textId="4613123F"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4.31</w:t>
      </w:r>
      <w:r w:rsidRPr="0093704C">
        <w:rPr>
          <w:rFonts w:ascii="Verdana" w:hAnsi="Verdana" w:cs="Times New Roman"/>
          <w:bCs/>
          <w:sz w:val="22"/>
          <w:szCs w:val="22"/>
        </w:rPr>
        <w:tab/>
      </w:r>
      <w:r w:rsidR="00A93C8A" w:rsidRPr="0093704C">
        <w:rPr>
          <w:rFonts w:ascii="Verdana" w:hAnsi="Verdana" w:cs="Times New Roman"/>
          <w:bCs/>
          <w:sz w:val="22"/>
          <w:szCs w:val="22"/>
        </w:rPr>
        <w:t>Joint Task Force on Measuring Sustainable Development</w:t>
      </w:r>
    </w:p>
    <w:p w14:paraId="5C72F036" w14:textId="3CAAAA84"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4.32</w:t>
      </w:r>
      <w:r w:rsidRPr="0093704C">
        <w:rPr>
          <w:rFonts w:ascii="Verdana" w:hAnsi="Verdana" w:cs="Times New Roman"/>
          <w:bCs/>
          <w:sz w:val="22"/>
          <w:szCs w:val="22"/>
        </w:rPr>
        <w:tab/>
        <w:t>NEF model</w:t>
      </w:r>
    </w:p>
    <w:p w14:paraId="12720EB3" w14:textId="57189FAE"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4.33</w:t>
      </w:r>
      <w:r w:rsidRPr="0093704C">
        <w:rPr>
          <w:rFonts w:ascii="Verdana" w:hAnsi="Verdana" w:cs="Times New Roman"/>
          <w:bCs/>
          <w:sz w:val="22"/>
          <w:szCs w:val="22"/>
        </w:rPr>
        <w:tab/>
        <w:t>OECD Better Life Index</w:t>
      </w:r>
    </w:p>
    <w:p w14:paraId="7A5C5A59" w14:textId="382E239C"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 xml:space="preserve">4.34 </w:t>
      </w:r>
      <w:r w:rsidRPr="0093704C">
        <w:rPr>
          <w:rFonts w:ascii="Verdana" w:hAnsi="Verdana" w:cs="Times New Roman"/>
          <w:bCs/>
          <w:sz w:val="22"/>
          <w:szCs w:val="22"/>
        </w:rPr>
        <w:tab/>
        <w:t>Oxfam’s Doughnut</w:t>
      </w:r>
    </w:p>
    <w:p w14:paraId="3AD27DBA" w14:textId="5D18E5BF" w:rsidR="008B4AAF" w:rsidRPr="0093704C" w:rsidRDefault="008B4AAF">
      <w:pPr>
        <w:pStyle w:val="Body"/>
        <w:rPr>
          <w:rFonts w:ascii="Verdana" w:hAnsi="Verdana" w:cs="Times New Roman"/>
          <w:bCs/>
          <w:sz w:val="22"/>
          <w:szCs w:val="22"/>
        </w:rPr>
      </w:pPr>
      <w:r w:rsidRPr="0093704C">
        <w:rPr>
          <w:rFonts w:ascii="Verdana" w:hAnsi="Verdana" w:cs="Times New Roman"/>
          <w:bCs/>
          <w:sz w:val="22"/>
          <w:szCs w:val="22"/>
        </w:rPr>
        <w:t>4.35</w:t>
      </w:r>
      <w:r w:rsidRPr="0093704C">
        <w:rPr>
          <w:rFonts w:ascii="Verdana" w:hAnsi="Verdana" w:cs="Times New Roman"/>
          <w:bCs/>
          <w:sz w:val="22"/>
          <w:szCs w:val="22"/>
        </w:rPr>
        <w:tab/>
        <w:t>ONS</w:t>
      </w:r>
    </w:p>
    <w:p w14:paraId="4FF3EB5D" w14:textId="77777777" w:rsidR="003442B7" w:rsidRPr="0093704C" w:rsidRDefault="003442B7">
      <w:pPr>
        <w:pStyle w:val="Body"/>
        <w:rPr>
          <w:rFonts w:ascii="Verdana" w:hAnsi="Verdana" w:cs="Times New Roman"/>
          <w:b/>
          <w:bCs/>
          <w:sz w:val="22"/>
          <w:szCs w:val="22"/>
        </w:rPr>
      </w:pPr>
    </w:p>
    <w:p w14:paraId="5B9934D6" w14:textId="7A48FEAC" w:rsidR="003442B7" w:rsidRPr="0093704C" w:rsidRDefault="003442B7">
      <w:pPr>
        <w:pStyle w:val="Body"/>
        <w:rPr>
          <w:rFonts w:ascii="Verdana" w:hAnsi="Verdana" w:cs="Times New Roman"/>
          <w:b/>
          <w:bCs/>
          <w:sz w:val="22"/>
          <w:szCs w:val="22"/>
        </w:rPr>
      </w:pPr>
      <w:r w:rsidRPr="0093704C">
        <w:rPr>
          <w:rFonts w:ascii="Verdana" w:hAnsi="Verdana" w:cs="Times New Roman"/>
          <w:b/>
          <w:bCs/>
          <w:sz w:val="22"/>
          <w:szCs w:val="22"/>
        </w:rPr>
        <w:t>5</w:t>
      </w:r>
      <w:r w:rsidRPr="0093704C">
        <w:rPr>
          <w:rFonts w:ascii="Verdana" w:hAnsi="Verdana" w:cs="Times New Roman"/>
          <w:b/>
          <w:bCs/>
          <w:sz w:val="22"/>
          <w:szCs w:val="22"/>
        </w:rPr>
        <w:tab/>
        <w:t>Evaluation of indicators and initiatives</w:t>
      </w:r>
    </w:p>
    <w:p w14:paraId="1F8CDEB8" w14:textId="77777777" w:rsidR="003442B7" w:rsidRPr="0093704C" w:rsidRDefault="003442B7">
      <w:pPr>
        <w:pStyle w:val="Body"/>
        <w:rPr>
          <w:rFonts w:ascii="Verdana" w:hAnsi="Verdana" w:cs="Times New Roman"/>
          <w:b/>
          <w:bCs/>
          <w:sz w:val="22"/>
          <w:szCs w:val="22"/>
        </w:rPr>
      </w:pPr>
    </w:p>
    <w:p w14:paraId="5D5F17C6" w14:textId="79DB8ABF" w:rsidR="003442B7" w:rsidRPr="0093704C" w:rsidRDefault="003442B7">
      <w:pPr>
        <w:pStyle w:val="Body"/>
        <w:rPr>
          <w:rFonts w:ascii="Verdana" w:hAnsi="Verdana" w:cs="Times New Roman"/>
          <w:b/>
          <w:bCs/>
          <w:sz w:val="22"/>
          <w:szCs w:val="22"/>
        </w:rPr>
      </w:pPr>
      <w:r w:rsidRPr="0093704C">
        <w:rPr>
          <w:rFonts w:ascii="Verdana" w:hAnsi="Verdana" w:cs="Times New Roman"/>
          <w:b/>
          <w:bCs/>
          <w:sz w:val="22"/>
          <w:szCs w:val="22"/>
        </w:rPr>
        <w:t>6</w:t>
      </w:r>
      <w:r w:rsidRPr="0093704C">
        <w:rPr>
          <w:rFonts w:ascii="Verdana" w:hAnsi="Verdana" w:cs="Times New Roman"/>
          <w:b/>
          <w:bCs/>
          <w:sz w:val="22"/>
          <w:szCs w:val="22"/>
        </w:rPr>
        <w:tab/>
        <w:t>Flourishing Scotland</w:t>
      </w:r>
    </w:p>
    <w:p w14:paraId="241FFA8C" w14:textId="05C03DD2" w:rsidR="003442B7" w:rsidRPr="0093704C" w:rsidRDefault="003442B7">
      <w:pPr>
        <w:pStyle w:val="Body"/>
        <w:rPr>
          <w:rFonts w:ascii="Verdana" w:hAnsi="Verdana" w:cs="Times New Roman"/>
          <w:bCs/>
          <w:sz w:val="22"/>
          <w:szCs w:val="22"/>
        </w:rPr>
      </w:pPr>
      <w:r w:rsidRPr="0093704C">
        <w:rPr>
          <w:rFonts w:ascii="Verdana" w:hAnsi="Verdana" w:cs="Times New Roman"/>
          <w:bCs/>
          <w:sz w:val="22"/>
          <w:szCs w:val="22"/>
        </w:rPr>
        <w:t>6.1</w:t>
      </w:r>
      <w:r w:rsidRPr="0093704C">
        <w:rPr>
          <w:rFonts w:ascii="Verdana" w:hAnsi="Verdana" w:cs="Times New Roman"/>
          <w:bCs/>
          <w:sz w:val="22"/>
          <w:szCs w:val="22"/>
        </w:rPr>
        <w:tab/>
      </w:r>
      <w:r w:rsidR="007D554E" w:rsidRPr="0093704C">
        <w:rPr>
          <w:rFonts w:ascii="Verdana" w:hAnsi="Verdana" w:cs="Times New Roman"/>
          <w:bCs/>
          <w:sz w:val="22"/>
          <w:szCs w:val="22"/>
        </w:rPr>
        <w:t xml:space="preserve">LINK </w:t>
      </w:r>
      <w:r w:rsidRPr="0093704C">
        <w:rPr>
          <w:rFonts w:ascii="Verdana" w:hAnsi="Verdana" w:cs="Times New Roman"/>
          <w:bCs/>
          <w:sz w:val="22"/>
          <w:szCs w:val="22"/>
        </w:rPr>
        <w:t>Project objectives</w:t>
      </w:r>
    </w:p>
    <w:p w14:paraId="7666C2EF" w14:textId="3A88E8F6" w:rsidR="003442B7" w:rsidRPr="0093704C" w:rsidRDefault="003442B7">
      <w:pPr>
        <w:pStyle w:val="Body"/>
        <w:rPr>
          <w:rFonts w:ascii="Verdana" w:hAnsi="Verdana" w:cs="Times New Roman"/>
          <w:bCs/>
          <w:sz w:val="22"/>
          <w:szCs w:val="22"/>
        </w:rPr>
      </w:pPr>
      <w:r w:rsidRPr="0093704C">
        <w:rPr>
          <w:rFonts w:ascii="Verdana" w:hAnsi="Verdana" w:cs="Times New Roman"/>
          <w:bCs/>
          <w:sz w:val="22"/>
          <w:szCs w:val="22"/>
        </w:rPr>
        <w:t>6.2</w:t>
      </w:r>
      <w:r w:rsidRPr="0093704C">
        <w:rPr>
          <w:rFonts w:ascii="Verdana" w:hAnsi="Verdana" w:cs="Times New Roman"/>
          <w:bCs/>
          <w:sz w:val="22"/>
          <w:szCs w:val="22"/>
        </w:rPr>
        <w:tab/>
        <w:t>Opportunities and challenges</w:t>
      </w:r>
    </w:p>
    <w:p w14:paraId="4D0E5969" w14:textId="7D67EDAF" w:rsidR="003442B7" w:rsidRDefault="003442B7">
      <w:pPr>
        <w:pStyle w:val="Body"/>
        <w:rPr>
          <w:rFonts w:ascii="Verdana" w:hAnsi="Verdana" w:cs="Times New Roman"/>
          <w:bCs/>
          <w:sz w:val="22"/>
          <w:szCs w:val="22"/>
        </w:rPr>
      </w:pPr>
      <w:r w:rsidRPr="0093704C">
        <w:rPr>
          <w:rFonts w:ascii="Verdana" w:hAnsi="Verdana" w:cs="Times New Roman"/>
          <w:bCs/>
          <w:sz w:val="22"/>
          <w:szCs w:val="22"/>
        </w:rPr>
        <w:t>6.3</w:t>
      </w:r>
      <w:r w:rsidRPr="0093704C">
        <w:rPr>
          <w:rFonts w:ascii="Verdana" w:hAnsi="Verdana" w:cs="Times New Roman"/>
          <w:bCs/>
          <w:sz w:val="22"/>
          <w:szCs w:val="22"/>
        </w:rPr>
        <w:tab/>
        <w:t>Suggestions for work programme</w:t>
      </w:r>
    </w:p>
    <w:p w14:paraId="11B03176" w14:textId="77777777" w:rsidR="000A0ADE" w:rsidRDefault="000A0ADE">
      <w:pPr>
        <w:pStyle w:val="Body"/>
        <w:rPr>
          <w:rFonts w:ascii="Verdana" w:hAnsi="Verdana" w:cs="Times New Roman"/>
          <w:bCs/>
          <w:sz w:val="22"/>
          <w:szCs w:val="22"/>
        </w:rPr>
      </w:pPr>
    </w:p>
    <w:p w14:paraId="7E66BCA1" w14:textId="77777777" w:rsidR="000A0ADE" w:rsidRDefault="000A0ADE">
      <w:pPr>
        <w:pStyle w:val="Body"/>
        <w:rPr>
          <w:rFonts w:ascii="Verdana" w:hAnsi="Verdana" w:cs="Times New Roman"/>
          <w:bCs/>
          <w:sz w:val="22"/>
          <w:szCs w:val="22"/>
        </w:rPr>
      </w:pPr>
    </w:p>
    <w:p w14:paraId="7E84B191" w14:textId="77777777" w:rsidR="00B82186" w:rsidRDefault="000A0ADE" w:rsidP="00B82186">
      <w:pPr>
        <w:pStyle w:val="Body"/>
        <w:rPr>
          <w:rFonts w:ascii="Verdana" w:hAnsi="Verdana" w:cs="Times New Roman"/>
          <w:b/>
          <w:bCs/>
          <w:sz w:val="22"/>
          <w:szCs w:val="22"/>
        </w:rPr>
        <w:sectPr w:rsidR="00B82186">
          <w:headerReference w:type="even" r:id="rId9"/>
          <w:headerReference w:type="default" r:id="rId10"/>
          <w:footerReference w:type="even" r:id="rId11"/>
          <w:footerReference w:type="default" r:id="rId12"/>
          <w:headerReference w:type="first" r:id="rId13"/>
          <w:footerReference w:type="first" r:id="rId14"/>
          <w:pgSz w:w="11900" w:h="16840"/>
          <w:pgMar w:top="1440" w:right="1800" w:bottom="1440" w:left="1800" w:header="708" w:footer="708" w:gutter="0"/>
          <w:cols w:space="720"/>
        </w:sectPr>
      </w:pPr>
      <w:r w:rsidRPr="000A0ADE">
        <w:rPr>
          <w:rFonts w:ascii="Verdana" w:hAnsi="Verdana" w:cs="Times New Roman"/>
          <w:b/>
          <w:bCs/>
          <w:sz w:val="22"/>
          <w:szCs w:val="22"/>
        </w:rPr>
        <w:t>ANNEX 1: Specification</w:t>
      </w:r>
    </w:p>
    <w:p w14:paraId="3354A149" w14:textId="77777777" w:rsidR="00950E2A" w:rsidRPr="00950E2A" w:rsidRDefault="00950E2A" w:rsidP="00950E2A">
      <w:pPr>
        <w:pStyle w:val="Body"/>
        <w:jc w:val="center"/>
        <w:rPr>
          <w:rFonts w:ascii="Verdana" w:hAnsi="Verdana" w:cs="Times New Roman"/>
          <w:b/>
          <w:bCs/>
          <w:sz w:val="28"/>
          <w:szCs w:val="28"/>
        </w:rPr>
      </w:pPr>
      <w:r w:rsidRPr="00950E2A">
        <w:rPr>
          <w:rFonts w:ascii="Verdana" w:hAnsi="Verdana" w:cs="Times New Roman"/>
          <w:b/>
          <w:bCs/>
          <w:sz w:val="28"/>
          <w:szCs w:val="28"/>
        </w:rPr>
        <w:lastRenderedPageBreak/>
        <w:t>BRIEFING ON NPF/SCOTLAND PERFORMS AND RELATED AREAS</w:t>
      </w:r>
    </w:p>
    <w:p w14:paraId="5E75E9A9" w14:textId="77777777" w:rsidR="00950E2A" w:rsidRDefault="00950E2A">
      <w:pPr>
        <w:pStyle w:val="Body"/>
        <w:rPr>
          <w:rFonts w:ascii="Verdana" w:hAnsi="Verdana" w:cs="Times New Roman"/>
          <w:b/>
          <w:bCs/>
          <w:sz w:val="22"/>
          <w:szCs w:val="22"/>
        </w:rPr>
      </w:pPr>
    </w:p>
    <w:p w14:paraId="6C91E03E" w14:textId="77777777" w:rsidR="00950E2A" w:rsidRDefault="00950E2A">
      <w:pPr>
        <w:pStyle w:val="Body"/>
        <w:rPr>
          <w:rFonts w:ascii="Verdana" w:hAnsi="Verdana" w:cs="Times New Roman"/>
          <w:b/>
          <w:bCs/>
          <w:sz w:val="22"/>
          <w:szCs w:val="22"/>
        </w:rPr>
      </w:pPr>
    </w:p>
    <w:p w14:paraId="214C55B2" w14:textId="77777777" w:rsidR="0045389F" w:rsidRPr="0093704C" w:rsidRDefault="00AB4F16">
      <w:pPr>
        <w:pStyle w:val="Body"/>
        <w:rPr>
          <w:rFonts w:ascii="Verdana" w:hAnsi="Verdana" w:cs="Times New Roman"/>
          <w:b/>
          <w:bCs/>
          <w:sz w:val="22"/>
          <w:szCs w:val="22"/>
        </w:rPr>
      </w:pPr>
      <w:r w:rsidRPr="0093704C">
        <w:rPr>
          <w:rFonts w:ascii="Verdana" w:hAnsi="Verdana" w:cs="Times New Roman"/>
          <w:b/>
          <w:bCs/>
          <w:sz w:val="22"/>
          <w:szCs w:val="22"/>
        </w:rPr>
        <w:t>SUMMARY</w:t>
      </w:r>
    </w:p>
    <w:p w14:paraId="08804198" w14:textId="77777777" w:rsidR="0045389F" w:rsidRPr="0093704C" w:rsidRDefault="0045389F">
      <w:pPr>
        <w:pStyle w:val="Body"/>
        <w:rPr>
          <w:rFonts w:ascii="Verdana" w:hAnsi="Verdana" w:cs="Times New Roman"/>
          <w:b/>
          <w:bCs/>
          <w:sz w:val="22"/>
          <w:szCs w:val="22"/>
        </w:rPr>
      </w:pPr>
    </w:p>
    <w:p w14:paraId="3B6112FA" w14:textId="7D743EDA"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Th</w:t>
      </w:r>
      <w:r w:rsidR="00B82186">
        <w:rPr>
          <w:rFonts w:ascii="Verdana" w:hAnsi="Verdana" w:cs="Times New Roman"/>
          <w:sz w:val="22"/>
          <w:szCs w:val="22"/>
        </w:rPr>
        <w:t>e aim of th</w:t>
      </w:r>
      <w:r w:rsidRPr="0093704C">
        <w:rPr>
          <w:rFonts w:ascii="Verdana" w:hAnsi="Verdana" w:cs="Times New Roman"/>
          <w:sz w:val="22"/>
          <w:szCs w:val="22"/>
        </w:rPr>
        <w:t xml:space="preserve">is paper </w:t>
      </w:r>
      <w:r w:rsidR="00B82186">
        <w:rPr>
          <w:rFonts w:ascii="Verdana" w:hAnsi="Verdana" w:cs="Times New Roman"/>
          <w:sz w:val="22"/>
          <w:szCs w:val="22"/>
        </w:rPr>
        <w:t xml:space="preserve">is to </w:t>
      </w:r>
      <w:r w:rsidR="009D3E6A" w:rsidRPr="0093704C">
        <w:rPr>
          <w:rFonts w:ascii="Verdana" w:hAnsi="Verdana" w:cs="Times New Roman"/>
          <w:sz w:val="22"/>
          <w:szCs w:val="22"/>
        </w:rPr>
        <w:t xml:space="preserve">brief LINK’s </w:t>
      </w:r>
      <w:r w:rsidR="00B82186">
        <w:rPr>
          <w:rFonts w:ascii="Verdana" w:hAnsi="Verdana" w:cs="Times New Roman"/>
          <w:sz w:val="22"/>
          <w:szCs w:val="22"/>
        </w:rPr>
        <w:t>E</w:t>
      </w:r>
      <w:r w:rsidR="009D3E6A" w:rsidRPr="0093704C">
        <w:rPr>
          <w:rFonts w:ascii="Verdana" w:hAnsi="Verdana" w:cs="Times New Roman"/>
          <w:sz w:val="22"/>
          <w:szCs w:val="22"/>
        </w:rPr>
        <w:t xml:space="preserve">conomics </w:t>
      </w:r>
      <w:r w:rsidR="00B82186">
        <w:rPr>
          <w:rFonts w:ascii="Verdana" w:hAnsi="Verdana" w:cs="Times New Roman"/>
          <w:sz w:val="22"/>
          <w:szCs w:val="22"/>
        </w:rPr>
        <w:t>T</w:t>
      </w:r>
      <w:r w:rsidR="009D3E6A" w:rsidRPr="0093704C">
        <w:rPr>
          <w:rFonts w:ascii="Verdana" w:hAnsi="Verdana" w:cs="Times New Roman"/>
          <w:sz w:val="22"/>
          <w:szCs w:val="22"/>
        </w:rPr>
        <w:t>askforce</w:t>
      </w:r>
      <w:r w:rsidR="00B82186">
        <w:rPr>
          <w:rFonts w:ascii="Verdana" w:hAnsi="Verdana" w:cs="Times New Roman"/>
          <w:sz w:val="22"/>
          <w:szCs w:val="22"/>
        </w:rPr>
        <w:t>, to</w:t>
      </w:r>
      <w:r w:rsidR="009D3E6A" w:rsidRPr="0093704C">
        <w:rPr>
          <w:rFonts w:ascii="Verdana" w:hAnsi="Verdana" w:cs="Times New Roman"/>
          <w:sz w:val="22"/>
          <w:szCs w:val="22"/>
        </w:rPr>
        <w:t xml:space="preserve"> indicate opportunities for LINK’s Flourishing </w:t>
      </w:r>
      <w:r w:rsidR="00B82186">
        <w:rPr>
          <w:rFonts w:ascii="Verdana" w:hAnsi="Verdana" w:cs="Times New Roman"/>
          <w:sz w:val="22"/>
          <w:szCs w:val="22"/>
        </w:rPr>
        <w:t xml:space="preserve">Scotland </w:t>
      </w:r>
      <w:r w:rsidR="009D3E6A" w:rsidRPr="0093704C">
        <w:rPr>
          <w:rFonts w:ascii="Verdana" w:hAnsi="Verdana" w:cs="Times New Roman"/>
          <w:sz w:val="22"/>
          <w:szCs w:val="22"/>
        </w:rPr>
        <w:t xml:space="preserve">project and </w:t>
      </w:r>
      <w:r w:rsidR="00B82186">
        <w:rPr>
          <w:rFonts w:ascii="Verdana" w:hAnsi="Verdana" w:cs="Times New Roman"/>
          <w:sz w:val="22"/>
          <w:szCs w:val="22"/>
        </w:rPr>
        <w:t xml:space="preserve">to increase the </w:t>
      </w:r>
      <w:r w:rsidR="009D3E6A" w:rsidRPr="0093704C">
        <w:rPr>
          <w:rFonts w:ascii="Verdana" w:hAnsi="Verdana" w:cs="Times New Roman"/>
          <w:sz w:val="22"/>
          <w:szCs w:val="22"/>
        </w:rPr>
        <w:t>scope for LINK members to engage</w:t>
      </w:r>
      <w:r w:rsidR="00B82186">
        <w:rPr>
          <w:rFonts w:ascii="Verdana" w:hAnsi="Verdana" w:cs="Times New Roman"/>
          <w:sz w:val="22"/>
          <w:szCs w:val="22"/>
        </w:rPr>
        <w:t xml:space="preserve"> in the debate about the National Performance Framework</w:t>
      </w:r>
      <w:r w:rsidRPr="0093704C">
        <w:rPr>
          <w:rFonts w:ascii="Verdana" w:hAnsi="Verdana" w:cs="Times New Roman"/>
          <w:sz w:val="22"/>
          <w:szCs w:val="22"/>
        </w:rPr>
        <w:t>.  It will discuss the Scottish Government</w:t>
      </w:r>
      <w:r w:rsidRPr="0093704C">
        <w:rPr>
          <w:rFonts w:ascii="Verdana" w:hAnsi="Verdana" w:cs="Times New Roman"/>
          <w:sz w:val="22"/>
          <w:szCs w:val="22"/>
          <w:lang w:val="fr-FR"/>
        </w:rPr>
        <w:t>’</w:t>
      </w:r>
      <w:r w:rsidRPr="0093704C">
        <w:rPr>
          <w:rFonts w:ascii="Verdana" w:hAnsi="Verdana" w:cs="Times New Roman"/>
          <w:sz w:val="22"/>
          <w:szCs w:val="22"/>
        </w:rPr>
        <w:t xml:space="preserve">s National Performance Framework and related issues of importance to LINK.  The shortcomings of GDP as an indicator and possible alternative measures are reviewed.  The paper concludes with some suggestions for </w:t>
      </w:r>
      <w:r w:rsidR="007D554E" w:rsidRPr="0093704C">
        <w:rPr>
          <w:rFonts w:ascii="Verdana" w:hAnsi="Verdana" w:cs="Times New Roman"/>
          <w:sz w:val="22"/>
          <w:szCs w:val="22"/>
        </w:rPr>
        <w:t>LINK’s</w:t>
      </w:r>
      <w:r w:rsidRPr="0093704C">
        <w:rPr>
          <w:rFonts w:ascii="Verdana" w:hAnsi="Verdana" w:cs="Times New Roman"/>
          <w:sz w:val="22"/>
          <w:szCs w:val="22"/>
        </w:rPr>
        <w:t xml:space="preserve"> Flourishing Scotland Project.</w:t>
      </w:r>
    </w:p>
    <w:p w14:paraId="1621C17C" w14:textId="77777777" w:rsidR="0045389F" w:rsidRPr="0093704C" w:rsidRDefault="0045389F">
      <w:pPr>
        <w:pStyle w:val="Body"/>
        <w:rPr>
          <w:rFonts w:ascii="Verdana" w:hAnsi="Verdana" w:cs="Times New Roman"/>
          <w:sz w:val="22"/>
          <w:szCs w:val="22"/>
        </w:rPr>
      </w:pPr>
    </w:p>
    <w:p w14:paraId="28088286" w14:textId="5E1C3524"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The National Performance Framework, developed in 2007 and reviewed in 2011, is an ‘outcomes based</w:t>
      </w:r>
      <w:r w:rsidRPr="0093704C">
        <w:rPr>
          <w:rFonts w:ascii="Verdana" w:hAnsi="Verdana" w:cs="Times New Roman"/>
          <w:sz w:val="22"/>
          <w:szCs w:val="22"/>
          <w:lang w:val="fr-FR"/>
        </w:rPr>
        <w:t xml:space="preserve">’ </w:t>
      </w:r>
      <w:r w:rsidRPr="0093704C">
        <w:rPr>
          <w:rFonts w:ascii="Verdana" w:hAnsi="Verdana" w:cs="Times New Roman"/>
          <w:sz w:val="22"/>
          <w:szCs w:val="22"/>
        </w:rPr>
        <w:t>tool to support the delivery of the Government</w:t>
      </w:r>
      <w:r w:rsidRPr="0093704C">
        <w:rPr>
          <w:rFonts w:ascii="Verdana" w:hAnsi="Verdana" w:cs="Times New Roman"/>
          <w:sz w:val="22"/>
          <w:szCs w:val="22"/>
          <w:lang w:val="fr-FR"/>
        </w:rPr>
        <w:t>’</w:t>
      </w:r>
      <w:r w:rsidRPr="0093704C">
        <w:rPr>
          <w:rFonts w:ascii="Verdana" w:hAnsi="Verdana" w:cs="Times New Roman"/>
          <w:sz w:val="22"/>
          <w:szCs w:val="22"/>
        </w:rPr>
        <w:t xml:space="preserve">s vision and priorities.  It is currently being reviewed by a Roundtable on which LINK sits. LINK would like </w:t>
      </w:r>
      <w:r w:rsidR="00A208E2" w:rsidRPr="0093704C">
        <w:rPr>
          <w:rFonts w:ascii="Verdana" w:hAnsi="Verdana" w:cs="Times New Roman"/>
          <w:sz w:val="22"/>
          <w:szCs w:val="22"/>
        </w:rPr>
        <w:t>the framework to more closely reflect the principles of sustainable development with more prominence given to environmental indicators and less emphasis placed on ‘sustainable economic growth’ and GDP</w:t>
      </w:r>
      <w:r w:rsidRPr="0093704C">
        <w:rPr>
          <w:rFonts w:ascii="Verdana" w:hAnsi="Verdana" w:cs="Times New Roman"/>
          <w:sz w:val="22"/>
          <w:szCs w:val="22"/>
        </w:rPr>
        <w:t xml:space="preserve">.  A briefing to that effect </w:t>
      </w:r>
      <w:r w:rsidR="007D554E" w:rsidRPr="0093704C">
        <w:rPr>
          <w:rFonts w:ascii="Verdana" w:hAnsi="Verdana" w:cs="Times New Roman"/>
          <w:sz w:val="22"/>
          <w:szCs w:val="22"/>
        </w:rPr>
        <w:t xml:space="preserve">supported by bodies across the voluntary sector </w:t>
      </w:r>
      <w:r w:rsidRPr="0093704C">
        <w:rPr>
          <w:rFonts w:ascii="Verdana" w:hAnsi="Verdana" w:cs="Times New Roman"/>
          <w:sz w:val="22"/>
          <w:szCs w:val="22"/>
        </w:rPr>
        <w:t>was submitted to the Roundtable in Feb 2014.</w:t>
      </w:r>
    </w:p>
    <w:p w14:paraId="6984054D" w14:textId="77777777" w:rsidR="0045389F" w:rsidRPr="0093704C" w:rsidRDefault="0045389F">
      <w:pPr>
        <w:pStyle w:val="Body"/>
        <w:rPr>
          <w:rFonts w:ascii="Verdana" w:hAnsi="Verdana" w:cs="Times New Roman"/>
          <w:sz w:val="22"/>
          <w:szCs w:val="22"/>
        </w:rPr>
      </w:pPr>
    </w:p>
    <w:p w14:paraId="08CC44C6" w14:textId="45735E18" w:rsidR="0045389F" w:rsidRPr="0093704C" w:rsidRDefault="00561EA3">
      <w:pPr>
        <w:pStyle w:val="Body"/>
        <w:rPr>
          <w:rFonts w:ascii="Verdana" w:hAnsi="Verdana" w:cs="Times New Roman"/>
          <w:sz w:val="22"/>
          <w:szCs w:val="22"/>
        </w:rPr>
      </w:pPr>
      <w:r w:rsidRPr="0093704C">
        <w:rPr>
          <w:rFonts w:ascii="Verdana" w:hAnsi="Verdana" w:cs="Times New Roman"/>
          <w:sz w:val="22"/>
          <w:szCs w:val="22"/>
        </w:rPr>
        <w:t>Although nearly universally used, GDP has many shortcomings as an indicator of societal success</w:t>
      </w:r>
      <w:r w:rsidR="007758C7" w:rsidRPr="0093704C">
        <w:rPr>
          <w:rFonts w:ascii="Verdana" w:hAnsi="Verdana" w:cs="Times New Roman"/>
          <w:sz w:val="22"/>
          <w:szCs w:val="22"/>
        </w:rPr>
        <w:t xml:space="preserve"> and the ‘beyond GDP’ movement has been gathering momentum in recent years</w:t>
      </w:r>
      <w:r w:rsidR="00AB4F16" w:rsidRPr="0093704C">
        <w:rPr>
          <w:rFonts w:ascii="Verdana" w:hAnsi="Verdana" w:cs="Times New Roman"/>
          <w:sz w:val="22"/>
          <w:szCs w:val="22"/>
        </w:rPr>
        <w:t xml:space="preserve">.  There are many initiatives that have developed </w:t>
      </w:r>
      <w:r w:rsidRPr="0093704C">
        <w:rPr>
          <w:rFonts w:ascii="Verdana" w:hAnsi="Verdana" w:cs="Times New Roman"/>
          <w:sz w:val="22"/>
          <w:szCs w:val="22"/>
        </w:rPr>
        <w:t xml:space="preserve">alternative </w:t>
      </w:r>
      <w:r w:rsidR="00AB4F16" w:rsidRPr="0093704C">
        <w:rPr>
          <w:rFonts w:ascii="Verdana" w:hAnsi="Verdana" w:cs="Times New Roman"/>
          <w:sz w:val="22"/>
          <w:szCs w:val="22"/>
        </w:rPr>
        <w:t xml:space="preserve">indicators or indicator sets </w:t>
      </w:r>
      <w:r w:rsidR="00A208E2" w:rsidRPr="0093704C">
        <w:rPr>
          <w:rFonts w:ascii="Verdana" w:hAnsi="Verdana" w:cs="Times New Roman"/>
          <w:sz w:val="22"/>
          <w:szCs w:val="22"/>
        </w:rPr>
        <w:t xml:space="preserve">to assess wellbeing </w:t>
      </w:r>
      <w:r w:rsidR="00AB4F16" w:rsidRPr="0093704C">
        <w:rPr>
          <w:rFonts w:ascii="Verdana" w:hAnsi="Verdana" w:cs="Times New Roman"/>
          <w:sz w:val="22"/>
          <w:szCs w:val="22"/>
        </w:rPr>
        <w:t xml:space="preserve">which can be divided in to 4 main types: </w:t>
      </w:r>
    </w:p>
    <w:p w14:paraId="1F7725B1" w14:textId="77777777" w:rsidR="0045389F" w:rsidRPr="0093704C" w:rsidRDefault="0045389F">
      <w:pPr>
        <w:pStyle w:val="ListParagraph"/>
        <w:ind w:left="0"/>
        <w:rPr>
          <w:rFonts w:ascii="Verdana" w:hAnsi="Verdana" w:cs="Times New Roman"/>
          <w:sz w:val="22"/>
          <w:szCs w:val="22"/>
        </w:rPr>
      </w:pPr>
    </w:p>
    <w:p w14:paraId="38EDAEE6" w14:textId="77777777" w:rsidR="0045389F" w:rsidRPr="0093704C" w:rsidRDefault="00AB4F16" w:rsidP="0077067E">
      <w:pPr>
        <w:pStyle w:val="ListParagraph"/>
        <w:numPr>
          <w:ilvl w:val="0"/>
          <w:numId w:val="1"/>
        </w:numPr>
        <w:tabs>
          <w:tab w:val="num" w:pos="720"/>
        </w:tabs>
        <w:ind w:hanging="360"/>
        <w:rPr>
          <w:rFonts w:ascii="Verdana" w:hAnsi="Verdana" w:cs="Times New Roman"/>
          <w:sz w:val="22"/>
          <w:szCs w:val="22"/>
        </w:rPr>
      </w:pPr>
      <w:r w:rsidRPr="0093704C">
        <w:rPr>
          <w:rFonts w:ascii="Verdana" w:hAnsi="Verdana" w:cs="Times New Roman"/>
          <w:sz w:val="22"/>
          <w:szCs w:val="22"/>
        </w:rPr>
        <w:t xml:space="preserve">Quality of life indicator sets or dashboards. </w:t>
      </w:r>
    </w:p>
    <w:p w14:paraId="115B7EDB" w14:textId="36CB2116" w:rsidR="0045389F" w:rsidRPr="0093704C" w:rsidRDefault="00AB4F16" w:rsidP="0077067E">
      <w:pPr>
        <w:pStyle w:val="ListParagraph"/>
        <w:numPr>
          <w:ilvl w:val="0"/>
          <w:numId w:val="1"/>
        </w:numPr>
        <w:tabs>
          <w:tab w:val="num" w:pos="720"/>
        </w:tabs>
        <w:ind w:hanging="360"/>
        <w:rPr>
          <w:rFonts w:ascii="Verdana" w:hAnsi="Verdana" w:cs="Times New Roman"/>
          <w:sz w:val="22"/>
          <w:szCs w:val="22"/>
        </w:rPr>
      </w:pPr>
      <w:r w:rsidRPr="0093704C">
        <w:rPr>
          <w:rFonts w:ascii="Verdana" w:hAnsi="Verdana" w:cs="Times New Roman"/>
          <w:sz w:val="22"/>
          <w:szCs w:val="22"/>
        </w:rPr>
        <w:t>Composite quality of life indicators - aggregating these indicators into a composite social indicator of quality of life</w:t>
      </w:r>
      <w:r w:rsidR="00561EA3" w:rsidRPr="0093704C">
        <w:rPr>
          <w:rFonts w:ascii="Verdana" w:hAnsi="Verdana" w:cs="Times New Roman"/>
          <w:sz w:val="22"/>
          <w:szCs w:val="22"/>
        </w:rPr>
        <w:t>.</w:t>
      </w:r>
    </w:p>
    <w:p w14:paraId="7E1E4E1A" w14:textId="75D04BBB" w:rsidR="0045389F" w:rsidRPr="0093704C" w:rsidRDefault="00AB4F16" w:rsidP="0077067E">
      <w:pPr>
        <w:pStyle w:val="ListParagraph"/>
        <w:numPr>
          <w:ilvl w:val="0"/>
          <w:numId w:val="1"/>
        </w:numPr>
        <w:tabs>
          <w:tab w:val="num" w:pos="720"/>
        </w:tabs>
        <w:ind w:hanging="360"/>
        <w:rPr>
          <w:rFonts w:ascii="Verdana" w:hAnsi="Verdana" w:cs="Times New Roman"/>
          <w:sz w:val="22"/>
          <w:szCs w:val="22"/>
        </w:rPr>
      </w:pPr>
      <w:r w:rsidRPr="0093704C">
        <w:rPr>
          <w:rFonts w:ascii="Verdana" w:hAnsi="Verdana" w:cs="Times New Roman"/>
          <w:sz w:val="22"/>
          <w:szCs w:val="22"/>
        </w:rPr>
        <w:t>Indicators of subjective wellbeing</w:t>
      </w:r>
      <w:r w:rsidR="00A208E2" w:rsidRPr="0093704C">
        <w:rPr>
          <w:rFonts w:ascii="Verdana" w:hAnsi="Verdana" w:cs="Times New Roman"/>
          <w:sz w:val="22"/>
          <w:szCs w:val="22"/>
        </w:rPr>
        <w:t xml:space="preserve"> –</w:t>
      </w:r>
      <w:r w:rsidRPr="0093704C">
        <w:rPr>
          <w:rFonts w:ascii="Verdana" w:hAnsi="Verdana" w:cs="Times New Roman"/>
          <w:sz w:val="22"/>
          <w:szCs w:val="22"/>
        </w:rPr>
        <w:t>measur</w:t>
      </w:r>
      <w:r w:rsidR="00A208E2" w:rsidRPr="0093704C">
        <w:rPr>
          <w:rFonts w:ascii="Verdana" w:hAnsi="Verdana" w:cs="Times New Roman"/>
          <w:sz w:val="22"/>
          <w:szCs w:val="22"/>
        </w:rPr>
        <w:t>ing self-</w:t>
      </w:r>
      <w:r w:rsidRPr="0093704C">
        <w:rPr>
          <w:rFonts w:ascii="Verdana" w:hAnsi="Verdana" w:cs="Times New Roman"/>
          <w:sz w:val="22"/>
          <w:szCs w:val="22"/>
        </w:rPr>
        <w:t>report</w:t>
      </w:r>
      <w:r w:rsidR="00A208E2" w:rsidRPr="0093704C">
        <w:rPr>
          <w:rFonts w:ascii="Verdana" w:hAnsi="Verdana" w:cs="Times New Roman"/>
          <w:sz w:val="22"/>
          <w:szCs w:val="22"/>
        </w:rPr>
        <w:t>ed</w:t>
      </w:r>
      <w:r w:rsidRPr="0093704C">
        <w:rPr>
          <w:rFonts w:ascii="Verdana" w:hAnsi="Verdana" w:cs="Times New Roman"/>
          <w:sz w:val="22"/>
          <w:szCs w:val="22"/>
        </w:rPr>
        <w:t xml:space="preserve"> life satisfaction.</w:t>
      </w:r>
    </w:p>
    <w:p w14:paraId="6BA744A3" w14:textId="4D6AFA04" w:rsidR="0045389F" w:rsidRPr="0093704C" w:rsidRDefault="00AB4F16" w:rsidP="0077067E">
      <w:pPr>
        <w:pStyle w:val="ListParagraph"/>
        <w:numPr>
          <w:ilvl w:val="0"/>
          <w:numId w:val="1"/>
        </w:numPr>
        <w:tabs>
          <w:tab w:val="num" w:pos="720"/>
        </w:tabs>
        <w:ind w:hanging="360"/>
        <w:rPr>
          <w:rFonts w:ascii="Verdana" w:hAnsi="Verdana" w:cs="Times New Roman"/>
          <w:sz w:val="22"/>
          <w:szCs w:val="22"/>
        </w:rPr>
      </w:pPr>
      <w:r w:rsidRPr="0093704C">
        <w:rPr>
          <w:rFonts w:ascii="Verdana" w:hAnsi="Verdana" w:cs="Times New Roman"/>
          <w:sz w:val="22"/>
          <w:szCs w:val="22"/>
        </w:rPr>
        <w:t>Adjusted economic indicators</w:t>
      </w:r>
      <w:r w:rsidR="00A208E2" w:rsidRPr="0093704C">
        <w:rPr>
          <w:rFonts w:ascii="Verdana" w:hAnsi="Verdana" w:cs="Times New Roman"/>
          <w:sz w:val="22"/>
          <w:szCs w:val="22"/>
        </w:rPr>
        <w:t xml:space="preserve"> - </w:t>
      </w:r>
      <w:r w:rsidRPr="0093704C">
        <w:rPr>
          <w:rFonts w:ascii="Verdana" w:hAnsi="Verdana" w:cs="Times New Roman"/>
          <w:sz w:val="22"/>
          <w:szCs w:val="22"/>
        </w:rPr>
        <w:t>attempt</w:t>
      </w:r>
      <w:r w:rsidR="00A208E2" w:rsidRPr="0093704C">
        <w:rPr>
          <w:rFonts w:ascii="Verdana" w:hAnsi="Verdana" w:cs="Times New Roman"/>
          <w:sz w:val="22"/>
          <w:szCs w:val="22"/>
        </w:rPr>
        <w:t>ing</w:t>
      </w:r>
      <w:r w:rsidRPr="0093704C">
        <w:rPr>
          <w:rFonts w:ascii="Verdana" w:hAnsi="Verdana" w:cs="Times New Roman"/>
          <w:sz w:val="22"/>
          <w:szCs w:val="22"/>
        </w:rPr>
        <w:t xml:space="preserve"> to develop monetised accounts of the factors that affect wellbeing.</w:t>
      </w:r>
    </w:p>
    <w:p w14:paraId="430A7309" w14:textId="14DA0178" w:rsidR="0045389F" w:rsidRPr="0093704C" w:rsidRDefault="00A208E2" w:rsidP="00D44954">
      <w:pPr>
        <w:pStyle w:val="Body"/>
        <w:rPr>
          <w:rFonts w:ascii="Verdana" w:hAnsi="Verdana" w:cs="Times New Roman"/>
          <w:sz w:val="22"/>
          <w:szCs w:val="22"/>
        </w:rPr>
      </w:pPr>
      <w:r w:rsidRPr="0093704C">
        <w:rPr>
          <w:rFonts w:ascii="Verdana" w:hAnsi="Verdana" w:cs="Times New Roman"/>
          <w:sz w:val="22"/>
          <w:szCs w:val="22"/>
        </w:rPr>
        <w:t>In addition, there are measures that attempt to give an indication of sustainability or future wellbeing.  In order</w:t>
      </w:r>
      <w:r w:rsidR="00AB4F16" w:rsidRPr="0093704C">
        <w:rPr>
          <w:rFonts w:ascii="Verdana" w:hAnsi="Verdana" w:cs="Times New Roman"/>
          <w:sz w:val="22"/>
          <w:szCs w:val="22"/>
        </w:rPr>
        <w:t xml:space="preserve"> to appreciate the ‘whole picture</w:t>
      </w:r>
      <w:r w:rsidR="00AB4F16" w:rsidRPr="0093704C">
        <w:rPr>
          <w:rFonts w:ascii="Verdana" w:hAnsi="Verdana" w:cs="Times New Roman"/>
          <w:sz w:val="22"/>
          <w:szCs w:val="22"/>
          <w:lang w:val="fr-FR"/>
        </w:rPr>
        <w:t xml:space="preserve">’ </w:t>
      </w:r>
      <w:r w:rsidR="00AB4F16" w:rsidRPr="0093704C">
        <w:rPr>
          <w:rFonts w:ascii="Verdana" w:hAnsi="Verdana" w:cs="Times New Roman"/>
          <w:sz w:val="22"/>
          <w:szCs w:val="22"/>
        </w:rPr>
        <w:t>for policy purposes it is necessary to use more than one</w:t>
      </w:r>
      <w:r w:rsidRPr="0093704C">
        <w:rPr>
          <w:rFonts w:ascii="Verdana" w:hAnsi="Verdana" w:cs="Times New Roman"/>
          <w:sz w:val="22"/>
          <w:szCs w:val="22"/>
        </w:rPr>
        <w:t xml:space="preserve"> of the above types of measure</w:t>
      </w:r>
      <w:r w:rsidR="00AB4F16" w:rsidRPr="0093704C">
        <w:rPr>
          <w:rFonts w:ascii="Verdana" w:hAnsi="Verdana" w:cs="Times New Roman"/>
          <w:sz w:val="22"/>
          <w:szCs w:val="22"/>
        </w:rPr>
        <w:t>.  There have been a few attempts to produce frameworks to illustrate the connections between resources, processes and wellbeing and the related assessments needed.</w:t>
      </w:r>
    </w:p>
    <w:p w14:paraId="02EBF7F1" w14:textId="77777777" w:rsidR="0045389F" w:rsidRPr="0093704C" w:rsidRDefault="0045389F">
      <w:pPr>
        <w:pStyle w:val="Body"/>
        <w:rPr>
          <w:rFonts w:ascii="Verdana" w:hAnsi="Verdana" w:cs="Times New Roman"/>
          <w:sz w:val="22"/>
          <w:szCs w:val="22"/>
        </w:rPr>
      </w:pPr>
    </w:p>
    <w:p w14:paraId="31937998" w14:textId="455C06E1" w:rsidR="0045389F" w:rsidRPr="0093704C" w:rsidRDefault="007D554E">
      <w:pPr>
        <w:pStyle w:val="Body"/>
        <w:rPr>
          <w:rFonts w:ascii="Verdana" w:hAnsi="Verdana" w:cs="Times New Roman"/>
          <w:sz w:val="22"/>
          <w:szCs w:val="22"/>
        </w:rPr>
      </w:pPr>
      <w:r w:rsidRPr="0093704C">
        <w:rPr>
          <w:rFonts w:ascii="Verdana" w:hAnsi="Verdana" w:cs="Times New Roman"/>
          <w:sz w:val="22"/>
          <w:szCs w:val="22"/>
        </w:rPr>
        <w:t xml:space="preserve">LINK’s </w:t>
      </w:r>
      <w:r w:rsidR="00AB4F16" w:rsidRPr="0093704C">
        <w:rPr>
          <w:rFonts w:ascii="Verdana" w:hAnsi="Verdana" w:cs="Times New Roman"/>
          <w:sz w:val="22"/>
          <w:szCs w:val="22"/>
        </w:rPr>
        <w:t>Flourishing Scotland project aims are closely tied to reforming the NPF and how it is used.  We await the outcome of the Roundtable to see to what extent the revised NPF meets LINK</w:t>
      </w:r>
      <w:r w:rsidR="00AB4F16" w:rsidRPr="0093704C">
        <w:rPr>
          <w:rFonts w:ascii="Verdana" w:hAnsi="Verdana" w:cs="Times New Roman"/>
          <w:sz w:val="22"/>
          <w:szCs w:val="22"/>
          <w:lang w:val="fr-FR"/>
        </w:rPr>
        <w:t>’</w:t>
      </w:r>
      <w:r w:rsidR="00AB4F16" w:rsidRPr="0093704C">
        <w:rPr>
          <w:rFonts w:ascii="Verdana" w:hAnsi="Verdana" w:cs="Times New Roman"/>
          <w:sz w:val="22"/>
          <w:szCs w:val="22"/>
        </w:rPr>
        <w:t xml:space="preserve">s aspirations and represents a comprehensive framework for policy purposes.  </w:t>
      </w:r>
    </w:p>
    <w:p w14:paraId="01AC9A09" w14:textId="77777777" w:rsidR="0045389F" w:rsidRPr="0093704C" w:rsidRDefault="0045389F">
      <w:pPr>
        <w:pStyle w:val="Body"/>
        <w:rPr>
          <w:rFonts w:ascii="Verdana" w:hAnsi="Verdana" w:cs="Times New Roman"/>
          <w:sz w:val="22"/>
          <w:szCs w:val="22"/>
        </w:rPr>
      </w:pPr>
    </w:p>
    <w:p w14:paraId="665964B4" w14:textId="32865E19" w:rsidR="0045389F" w:rsidRDefault="00AB4F16">
      <w:pPr>
        <w:pStyle w:val="Body"/>
        <w:rPr>
          <w:rFonts w:ascii="Verdana" w:hAnsi="Verdana" w:cs="Times New Roman"/>
          <w:sz w:val="22"/>
          <w:szCs w:val="22"/>
        </w:rPr>
      </w:pPr>
      <w:r w:rsidRPr="0093704C">
        <w:rPr>
          <w:rFonts w:ascii="Verdana" w:hAnsi="Verdana" w:cs="Times New Roman"/>
          <w:sz w:val="22"/>
          <w:szCs w:val="22"/>
        </w:rPr>
        <w:lastRenderedPageBreak/>
        <w:t xml:space="preserve">Although we must continue to push along our NPF reform agenda, because of the sensitivity of the Roundtable, the Flourishing Scotland project </w:t>
      </w:r>
      <w:r w:rsidR="0076178C" w:rsidRPr="0093704C">
        <w:rPr>
          <w:rFonts w:ascii="Verdana" w:hAnsi="Verdana" w:cs="Times New Roman"/>
          <w:sz w:val="22"/>
          <w:szCs w:val="22"/>
        </w:rPr>
        <w:t>c</w:t>
      </w:r>
      <w:r w:rsidRPr="0093704C">
        <w:rPr>
          <w:rFonts w:ascii="Verdana" w:hAnsi="Verdana" w:cs="Times New Roman"/>
          <w:sz w:val="22"/>
          <w:szCs w:val="22"/>
        </w:rPr>
        <w:t>ould shift its advocacy focus to a more general ‘beyond GDP</w:t>
      </w:r>
      <w:r w:rsidRPr="0093704C">
        <w:rPr>
          <w:rFonts w:ascii="Verdana" w:hAnsi="Verdana" w:cs="Times New Roman"/>
          <w:sz w:val="22"/>
          <w:szCs w:val="22"/>
          <w:lang w:val="fr-FR"/>
        </w:rPr>
        <w:t xml:space="preserve">’ </w:t>
      </w:r>
      <w:r w:rsidRPr="0093704C">
        <w:rPr>
          <w:rFonts w:ascii="Verdana" w:hAnsi="Verdana" w:cs="Times New Roman"/>
          <w:sz w:val="22"/>
          <w:szCs w:val="22"/>
        </w:rPr>
        <w:t xml:space="preserve">message. </w:t>
      </w:r>
      <w:r w:rsidR="00E52612" w:rsidRPr="0093704C">
        <w:rPr>
          <w:rFonts w:ascii="Verdana" w:hAnsi="Verdana" w:cs="Times New Roman"/>
          <w:sz w:val="22"/>
          <w:szCs w:val="22"/>
        </w:rPr>
        <w:t>A</w:t>
      </w:r>
      <w:r w:rsidR="00561EA3" w:rsidRPr="0093704C">
        <w:rPr>
          <w:rFonts w:ascii="Verdana" w:hAnsi="Verdana" w:cs="Times New Roman"/>
          <w:sz w:val="22"/>
          <w:szCs w:val="22"/>
        </w:rPr>
        <w:t xml:space="preserve"> clear message </w:t>
      </w:r>
      <w:r w:rsidR="00E52612" w:rsidRPr="0093704C">
        <w:rPr>
          <w:rFonts w:ascii="Verdana" w:hAnsi="Verdana" w:cs="Times New Roman"/>
          <w:sz w:val="22"/>
          <w:szCs w:val="22"/>
        </w:rPr>
        <w:t xml:space="preserve">should be developed </w:t>
      </w:r>
      <w:r w:rsidRPr="0093704C">
        <w:rPr>
          <w:rFonts w:ascii="Verdana" w:hAnsi="Verdana" w:cs="Times New Roman"/>
          <w:sz w:val="22"/>
          <w:szCs w:val="22"/>
        </w:rPr>
        <w:t xml:space="preserve">and </w:t>
      </w:r>
      <w:r w:rsidR="00A80782" w:rsidRPr="0093704C">
        <w:rPr>
          <w:rFonts w:ascii="Verdana" w:hAnsi="Verdana" w:cs="Times New Roman"/>
          <w:sz w:val="22"/>
          <w:szCs w:val="22"/>
        </w:rPr>
        <w:t>responses to</w:t>
      </w:r>
      <w:r w:rsidRPr="0093704C">
        <w:rPr>
          <w:rFonts w:ascii="Verdana" w:hAnsi="Verdana" w:cs="Times New Roman"/>
          <w:sz w:val="22"/>
          <w:szCs w:val="22"/>
        </w:rPr>
        <w:t xml:space="preserve"> ‘tricky</w:t>
      </w:r>
      <w:r w:rsidRPr="0093704C">
        <w:rPr>
          <w:rFonts w:ascii="Verdana" w:hAnsi="Verdana" w:cs="Times New Roman"/>
          <w:sz w:val="22"/>
          <w:szCs w:val="22"/>
          <w:lang w:val="fr-FR"/>
        </w:rPr>
        <w:t xml:space="preserve">’ </w:t>
      </w:r>
      <w:r w:rsidRPr="0093704C">
        <w:rPr>
          <w:rFonts w:ascii="Verdana" w:hAnsi="Verdana" w:cs="Times New Roman"/>
          <w:sz w:val="22"/>
          <w:szCs w:val="22"/>
        </w:rPr>
        <w:t>questions</w:t>
      </w:r>
      <w:r w:rsidR="00A80782" w:rsidRPr="0093704C">
        <w:rPr>
          <w:rFonts w:ascii="Verdana" w:hAnsi="Verdana" w:cs="Times New Roman"/>
          <w:sz w:val="22"/>
          <w:szCs w:val="22"/>
        </w:rPr>
        <w:t xml:space="preserve"> thought about</w:t>
      </w:r>
      <w:r w:rsidRPr="0093704C">
        <w:rPr>
          <w:rFonts w:ascii="Verdana" w:hAnsi="Verdana" w:cs="Times New Roman"/>
          <w:sz w:val="22"/>
          <w:szCs w:val="22"/>
        </w:rPr>
        <w:t xml:space="preserve">. </w:t>
      </w:r>
      <w:r w:rsidR="00E52612" w:rsidRPr="0093704C">
        <w:rPr>
          <w:rFonts w:ascii="Verdana" w:hAnsi="Verdana" w:cs="Times New Roman"/>
          <w:sz w:val="22"/>
          <w:szCs w:val="22"/>
        </w:rPr>
        <w:t xml:space="preserve"> One to one meetings should </w:t>
      </w:r>
      <w:r w:rsidRPr="0093704C">
        <w:rPr>
          <w:rFonts w:ascii="Verdana" w:hAnsi="Verdana" w:cs="Times New Roman"/>
          <w:sz w:val="22"/>
          <w:szCs w:val="22"/>
        </w:rPr>
        <w:t xml:space="preserve">continue and </w:t>
      </w:r>
      <w:r w:rsidR="00561EA3" w:rsidRPr="0093704C">
        <w:rPr>
          <w:rFonts w:ascii="Verdana" w:hAnsi="Verdana" w:cs="Times New Roman"/>
          <w:sz w:val="22"/>
          <w:szCs w:val="22"/>
        </w:rPr>
        <w:t>a media strategy</w:t>
      </w:r>
      <w:r w:rsidR="00E52612" w:rsidRPr="0093704C">
        <w:rPr>
          <w:rFonts w:ascii="Verdana" w:hAnsi="Verdana" w:cs="Times New Roman"/>
          <w:sz w:val="22"/>
          <w:szCs w:val="22"/>
        </w:rPr>
        <w:t xml:space="preserve"> needs to be developed</w:t>
      </w:r>
      <w:r w:rsidR="00561EA3" w:rsidRPr="0093704C">
        <w:rPr>
          <w:rFonts w:ascii="Verdana" w:hAnsi="Verdana" w:cs="Times New Roman"/>
          <w:sz w:val="22"/>
          <w:szCs w:val="22"/>
        </w:rPr>
        <w:t xml:space="preserve">. </w:t>
      </w:r>
      <w:r w:rsidRPr="0093704C">
        <w:rPr>
          <w:rFonts w:ascii="Verdana" w:hAnsi="Verdana" w:cs="Times New Roman"/>
          <w:sz w:val="22"/>
          <w:szCs w:val="22"/>
        </w:rPr>
        <w:t>We also need to produce information for our members and decide how to engage them and build more consensus for change with the wider policy community.</w:t>
      </w:r>
    </w:p>
    <w:p w14:paraId="2B3061B3" w14:textId="3A3AD193" w:rsidR="003442B7" w:rsidRPr="0093704C" w:rsidRDefault="003442B7">
      <w:pPr>
        <w:rPr>
          <w:rFonts w:ascii="Verdana" w:eastAsia="Cambria" w:hAnsi="Verdana"/>
          <w:color w:val="000000"/>
          <w:sz w:val="22"/>
          <w:szCs w:val="22"/>
          <w:u w:color="000000"/>
        </w:rPr>
      </w:pPr>
    </w:p>
    <w:p w14:paraId="5A544B5B" w14:textId="77777777" w:rsidR="003442B7" w:rsidRPr="0093704C" w:rsidRDefault="003442B7">
      <w:pPr>
        <w:pStyle w:val="Body"/>
        <w:rPr>
          <w:rFonts w:ascii="Verdana" w:hAnsi="Verdana" w:cs="Times New Roman"/>
          <w:sz w:val="22"/>
          <w:szCs w:val="22"/>
        </w:rPr>
      </w:pPr>
    </w:p>
    <w:p w14:paraId="0E792AC1" w14:textId="77777777" w:rsidR="0045389F" w:rsidRPr="00950E2A" w:rsidRDefault="00AB4F16">
      <w:pPr>
        <w:pStyle w:val="Body"/>
        <w:rPr>
          <w:rFonts w:ascii="Verdana" w:hAnsi="Verdana" w:cs="Times New Roman"/>
          <w:b/>
          <w:bCs/>
        </w:rPr>
      </w:pPr>
      <w:r w:rsidRPr="00950E2A">
        <w:rPr>
          <w:rFonts w:ascii="Verdana" w:hAnsi="Verdana" w:cs="Times New Roman"/>
          <w:b/>
          <w:lang w:val="fr-FR"/>
        </w:rPr>
        <w:t>1.</w:t>
      </w:r>
      <w:r w:rsidRPr="00950E2A">
        <w:rPr>
          <w:rFonts w:ascii="Verdana" w:hAnsi="Verdana" w:cs="Times New Roman"/>
          <w:b/>
          <w:lang w:val="fr-FR"/>
        </w:rPr>
        <w:tab/>
        <w:t>Introduction</w:t>
      </w:r>
    </w:p>
    <w:p w14:paraId="5969EE07" w14:textId="77777777" w:rsidR="0045389F" w:rsidRPr="0093704C" w:rsidRDefault="0045389F">
      <w:pPr>
        <w:pStyle w:val="Body"/>
        <w:rPr>
          <w:rFonts w:ascii="Verdana" w:hAnsi="Verdana" w:cs="Times New Roman"/>
          <w:b/>
          <w:bCs/>
          <w:sz w:val="22"/>
          <w:szCs w:val="22"/>
        </w:rPr>
      </w:pPr>
    </w:p>
    <w:p w14:paraId="4FDD5A0F" w14:textId="4A2F3FD2" w:rsidR="0045389F" w:rsidRDefault="000A0ADE">
      <w:pPr>
        <w:pStyle w:val="Body"/>
        <w:rPr>
          <w:rFonts w:ascii="Verdana" w:hAnsi="Verdana" w:cs="Times New Roman"/>
          <w:sz w:val="22"/>
          <w:szCs w:val="22"/>
        </w:rPr>
      </w:pPr>
      <w:r w:rsidRPr="00CD20DE">
        <w:rPr>
          <w:rFonts w:ascii="Verdana" w:hAnsi="Verdana"/>
          <w:sz w:val="22"/>
          <w:szCs w:val="22"/>
        </w:rPr>
        <w:t xml:space="preserve">This paper is written as part of Scottish Environment LINK’s Flourishing Scotland Project.  </w:t>
      </w:r>
      <w:r w:rsidR="00AB4F16" w:rsidRPr="0093704C">
        <w:rPr>
          <w:rFonts w:ascii="Verdana" w:hAnsi="Verdana" w:cs="Times New Roman"/>
          <w:sz w:val="22"/>
          <w:szCs w:val="22"/>
        </w:rPr>
        <w:t>As outlined in the spec</w:t>
      </w:r>
      <w:r>
        <w:rPr>
          <w:rFonts w:ascii="Verdana" w:hAnsi="Verdana" w:cs="Times New Roman"/>
          <w:sz w:val="22"/>
          <w:szCs w:val="22"/>
        </w:rPr>
        <w:t>ification (Annex 1)</w:t>
      </w:r>
      <w:r w:rsidR="00AB4F16" w:rsidRPr="0093704C">
        <w:rPr>
          <w:rFonts w:ascii="Verdana" w:hAnsi="Verdana" w:cs="Times New Roman"/>
          <w:sz w:val="22"/>
          <w:szCs w:val="22"/>
        </w:rPr>
        <w:t>, this paper will provide an overview of the state of play regarding the development of the National Performance Framework and related issues of importance to LINK.  It will give an overview of NPF, its development, revisions and current status</w:t>
      </w:r>
      <w:r w:rsidR="00DD191E" w:rsidRPr="0093704C">
        <w:rPr>
          <w:rFonts w:ascii="Verdana" w:hAnsi="Verdana" w:cs="Times New Roman"/>
          <w:sz w:val="22"/>
          <w:szCs w:val="22"/>
        </w:rPr>
        <w:t>,</w:t>
      </w:r>
      <w:r w:rsidR="00AB4F16" w:rsidRPr="0093704C">
        <w:rPr>
          <w:rFonts w:ascii="Verdana" w:hAnsi="Verdana" w:cs="Times New Roman"/>
          <w:sz w:val="22"/>
          <w:szCs w:val="22"/>
        </w:rPr>
        <w:t xml:space="preserve"> before exploring GDP, </w:t>
      </w:r>
      <w:r w:rsidR="00DD191E" w:rsidRPr="0093704C">
        <w:rPr>
          <w:rFonts w:ascii="Verdana" w:hAnsi="Verdana" w:cs="Times New Roman"/>
          <w:sz w:val="22"/>
          <w:szCs w:val="22"/>
        </w:rPr>
        <w:t xml:space="preserve">and </w:t>
      </w:r>
      <w:r w:rsidR="00AB4F16" w:rsidRPr="0093704C">
        <w:rPr>
          <w:rFonts w:ascii="Verdana" w:hAnsi="Verdana" w:cs="Times New Roman"/>
          <w:sz w:val="22"/>
          <w:szCs w:val="22"/>
        </w:rPr>
        <w:t>its shortcomings</w:t>
      </w:r>
      <w:r w:rsidR="00DD191E" w:rsidRPr="0093704C">
        <w:rPr>
          <w:rFonts w:ascii="Verdana" w:hAnsi="Verdana" w:cs="Times New Roman"/>
          <w:sz w:val="22"/>
          <w:szCs w:val="22"/>
        </w:rPr>
        <w:t>,</w:t>
      </w:r>
      <w:r w:rsidR="00AB4F16" w:rsidRPr="0093704C">
        <w:rPr>
          <w:rFonts w:ascii="Verdana" w:hAnsi="Verdana" w:cs="Times New Roman"/>
          <w:sz w:val="22"/>
          <w:szCs w:val="22"/>
        </w:rPr>
        <w:t xml:space="preserve"> and other wider measures of wellbeing and societal success.  Linking to this, the opportunities for achieving </w:t>
      </w:r>
      <w:r w:rsidR="007D554E" w:rsidRPr="0093704C">
        <w:rPr>
          <w:rFonts w:ascii="Verdana" w:hAnsi="Verdana" w:cs="Times New Roman"/>
          <w:sz w:val="22"/>
          <w:szCs w:val="22"/>
        </w:rPr>
        <w:t xml:space="preserve">LINK’s </w:t>
      </w:r>
      <w:r w:rsidR="00AB4F16" w:rsidRPr="0093704C">
        <w:rPr>
          <w:rFonts w:ascii="Verdana" w:hAnsi="Verdana" w:cs="Times New Roman"/>
          <w:sz w:val="22"/>
          <w:szCs w:val="22"/>
        </w:rPr>
        <w:t xml:space="preserve">Flourishing Scotland project objectives will be discussed and suggestions </w:t>
      </w:r>
      <w:r w:rsidR="00DD191E" w:rsidRPr="0093704C">
        <w:rPr>
          <w:rFonts w:ascii="Verdana" w:hAnsi="Verdana" w:cs="Times New Roman"/>
          <w:sz w:val="22"/>
          <w:szCs w:val="22"/>
        </w:rPr>
        <w:t>made with regard to</w:t>
      </w:r>
      <w:r w:rsidR="00AB4F16" w:rsidRPr="0093704C">
        <w:rPr>
          <w:rFonts w:ascii="Verdana" w:hAnsi="Verdana" w:cs="Times New Roman"/>
          <w:sz w:val="22"/>
          <w:szCs w:val="22"/>
        </w:rPr>
        <w:t xml:space="preserve"> the work programme, inputs needed and scope for LINK members to participate.</w:t>
      </w:r>
    </w:p>
    <w:p w14:paraId="7680D168" w14:textId="77777777" w:rsidR="0093704C" w:rsidRDefault="0093704C">
      <w:pPr>
        <w:pStyle w:val="Body"/>
        <w:rPr>
          <w:rFonts w:ascii="Verdana" w:hAnsi="Verdana" w:cs="Times New Roman"/>
          <w:sz w:val="22"/>
          <w:szCs w:val="22"/>
        </w:rPr>
      </w:pPr>
    </w:p>
    <w:p w14:paraId="46EE83A8" w14:textId="7E3CDE1C" w:rsidR="0093704C" w:rsidRPr="0093704C" w:rsidRDefault="0093704C">
      <w:pPr>
        <w:pStyle w:val="Body"/>
        <w:rPr>
          <w:rFonts w:ascii="Verdana" w:hAnsi="Verdana" w:cs="Times New Roman"/>
          <w:sz w:val="22"/>
          <w:szCs w:val="22"/>
        </w:rPr>
      </w:pPr>
      <w:r>
        <w:rPr>
          <w:rFonts w:ascii="Verdana" w:hAnsi="Verdana"/>
          <w:sz w:val="22"/>
          <w:szCs w:val="22"/>
        </w:rPr>
        <w:t xml:space="preserve">LINK’s Flourishing Scotland project evolved from a </w:t>
      </w:r>
      <w:r w:rsidRPr="0093704C">
        <w:rPr>
          <w:rFonts w:ascii="Verdana" w:hAnsi="Verdana"/>
          <w:sz w:val="22"/>
          <w:szCs w:val="22"/>
        </w:rPr>
        <w:t xml:space="preserve">LINK </w:t>
      </w:r>
      <w:r>
        <w:rPr>
          <w:rFonts w:ascii="Verdana" w:hAnsi="Verdana"/>
          <w:sz w:val="22"/>
          <w:szCs w:val="22"/>
        </w:rPr>
        <w:t xml:space="preserve">report, published in 2012 </w:t>
      </w:r>
      <w:r w:rsidRPr="0093704C">
        <w:rPr>
          <w:rFonts w:ascii="Verdana" w:hAnsi="Verdana"/>
          <w:i/>
          <w:sz w:val="22"/>
          <w:szCs w:val="22"/>
        </w:rPr>
        <w:t>Environment and the Economy; helping Scotland to Flourish</w:t>
      </w:r>
      <w:r w:rsidRPr="0093704C">
        <w:rPr>
          <w:rFonts w:ascii="Verdana" w:hAnsi="Verdana"/>
          <w:sz w:val="22"/>
          <w:szCs w:val="22"/>
        </w:rPr>
        <w:t xml:space="preserve"> </w:t>
      </w:r>
      <w:hyperlink r:id="rId15" w:history="1">
        <w:r w:rsidRPr="0093704C">
          <w:rPr>
            <w:rStyle w:val="Hyperlink"/>
            <w:rFonts w:ascii="Verdana" w:hAnsi="Verdana"/>
            <w:sz w:val="22"/>
            <w:szCs w:val="22"/>
          </w:rPr>
          <w:t>http://www.scotlink.org/files/policy/PositionPapers/LINKHelpingScotlandFlourish.pdf</w:t>
        </w:r>
      </w:hyperlink>
      <w:r w:rsidRPr="0093704C">
        <w:rPr>
          <w:rFonts w:ascii="Verdana" w:hAnsi="Verdana"/>
          <w:sz w:val="22"/>
          <w:szCs w:val="22"/>
        </w:rPr>
        <w:t xml:space="preserve"> whi</w:t>
      </w:r>
      <w:r>
        <w:rPr>
          <w:rFonts w:ascii="Verdana" w:hAnsi="Verdana"/>
          <w:sz w:val="22"/>
          <w:szCs w:val="22"/>
        </w:rPr>
        <w:t>ch articulated LINK concerns with regard to</w:t>
      </w:r>
      <w:r w:rsidRPr="0093704C">
        <w:rPr>
          <w:rFonts w:ascii="Verdana" w:hAnsi="Verdana"/>
          <w:sz w:val="22"/>
          <w:szCs w:val="22"/>
        </w:rPr>
        <w:t xml:space="preserve"> the National Performance Framework. </w:t>
      </w:r>
    </w:p>
    <w:p w14:paraId="79D4D148" w14:textId="77777777" w:rsidR="0045389F" w:rsidRDefault="0045389F">
      <w:pPr>
        <w:pStyle w:val="Body"/>
        <w:rPr>
          <w:rFonts w:ascii="Verdana" w:hAnsi="Verdana" w:cs="Times New Roman"/>
          <w:b/>
          <w:bCs/>
          <w:sz w:val="22"/>
          <w:szCs w:val="22"/>
        </w:rPr>
      </w:pPr>
    </w:p>
    <w:p w14:paraId="465F7203" w14:textId="77777777" w:rsidR="000A0ADE" w:rsidRPr="0093704C" w:rsidRDefault="000A0ADE">
      <w:pPr>
        <w:pStyle w:val="Body"/>
        <w:rPr>
          <w:rFonts w:ascii="Verdana" w:hAnsi="Verdana" w:cs="Times New Roman"/>
          <w:b/>
          <w:bCs/>
          <w:sz w:val="22"/>
          <w:szCs w:val="22"/>
        </w:rPr>
      </w:pPr>
    </w:p>
    <w:p w14:paraId="746D9D35" w14:textId="6C447978" w:rsidR="0045389F" w:rsidRPr="00950E2A" w:rsidRDefault="00AB4F16">
      <w:pPr>
        <w:pStyle w:val="Body"/>
        <w:rPr>
          <w:rFonts w:ascii="Verdana" w:hAnsi="Verdana" w:cs="Times New Roman"/>
          <w:b/>
          <w:bCs/>
        </w:rPr>
      </w:pPr>
      <w:r w:rsidRPr="00950E2A">
        <w:rPr>
          <w:rFonts w:ascii="Verdana" w:hAnsi="Verdana" w:cs="Times New Roman"/>
          <w:b/>
        </w:rPr>
        <w:t>2.</w:t>
      </w:r>
      <w:r w:rsidRPr="00950E2A">
        <w:rPr>
          <w:rFonts w:ascii="Verdana" w:hAnsi="Verdana" w:cs="Times New Roman"/>
          <w:b/>
        </w:rPr>
        <w:tab/>
        <w:t>National Performance Framework</w:t>
      </w:r>
      <w:r w:rsidRPr="00950E2A">
        <w:rPr>
          <w:rFonts w:ascii="Verdana" w:hAnsi="Verdana" w:cs="Times New Roman"/>
          <w:b/>
          <w:bCs/>
        </w:rPr>
        <w:t xml:space="preserve"> </w:t>
      </w:r>
    </w:p>
    <w:p w14:paraId="2C34E361" w14:textId="77777777" w:rsidR="0045389F" w:rsidRPr="0093704C" w:rsidRDefault="0045389F">
      <w:pPr>
        <w:pStyle w:val="Body"/>
        <w:rPr>
          <w:rFonts w:ascii="Verdana" w:hAnsi="Verdana" w:cs="Times New Roman"/>
          <w:b/>
          <w:bCs/>
          <w:sz w:val="22"/>
          <w:szCs w:val="22"/>
        </w:rPr>
      </w:pPr>
    </w:p>
    <w:p w14:paraId="0403D416" w14:textId="2487035C"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The National Performance Framework (NPF) was developed by the Government in 2007 and updated in 2011.  It is a tool to support the delivery of Scottish Government</w:t>
      </w:r>
      <w:r w:rsidRPr="0093704C">
        <w:rPr>
          <w:rFonts w:ascii="Verdana" w:hAnsi="Verdana" w:cs="Times New Roman"/>
          <w:sz w:val="22"/>
          <w:szCs w:val="22"/>
          <w:lang w:val="fr-FR"/>
        </w:rPr>
        <w:t>’</w:t>
      </w:r>
      <w:r w:rsidR="0076178C" w:rsidRPr="0093704C">
        <w:rPr>
          <w:rFonts w:ascii="Verdana" w:hAnsi="Verdana" w:cs="Times New Roman"/>
          <w:sz w:val="22"/>
          <w:szCs w:val="22"/>
        </w:rPr>
        <w:t>s P</w:t>
      </w:r>
      <w:r w:rsidRPr="0093704C">
        <w:rPr>
          <w:rFonts w:ascii="Verdana" w:hAnsi="Verdana" w:cs="Times New Roman"/>
          <w:sz w:val="22"/>
          <w:szCs w:val="22"/>
        </w:rPr>
        <w:t>urpose and priorities and is based on delivering outcomes that improve the quality of life for people in Scotland.  The Framework sets out the Government</w:t>
      </w:r>
      <w:r w:rsidRPr="0093704C">
        <w:rPr>
          <w:rFonts w:ascii="Verdana" w:hAnsi="Verdana" w:cs="Times New Roman"/>
          <w:sz w:val="22"/>
          <w:szCs w:val="22"/>
          <w:lang w:val="fr-FR"/>
        </w:rPr>
        <w:t>’</w:t>
      </w:r>
      <w:r w:rsidRPr="0093704C">
        <w:rPr>
          <w:rFonts w:ascii="Verdana" w:hAnsi="Verdana" w:cs="Times New Roman"/>
          <w:sz w:val="22"/>
          <w:szCs w:val="22"/>
        </w:rPr>
        <w:t>s ‘Purpose</w:t>
      </w:r>
      <w:r w:rsidRPr="0093704C">
        <w:rPr>
          <w:rFonts w:ascii="Verdana" w:hAnsi="Verdana" w:cs="Times New Roman"/>
          <w:sz w:val="22"/>
          <w:szCs w:val="22"/>
          <w:lang w:val="fr-FR"/>
        </w:rPr>
        <w:t xml:space="preserve">’ </w:t>
      </w:r>
      <w:r w:rsidRPr="0093704C">
        <w:rPr>
          <w:rFonts w:ascii="Verdana" w:hAnsi="Verdana" w:cs="Times New Roman"/>
          <w:sz w:val="22"/>
          <w:szCs w:val="22"/>
        </w:rPr>
        <w:t>which is suppor</w:t>
      </w:r>
      <w:r w:rsidR="00674C5B" w:rsidRPr="0093704C">
        <w:rPr>
          <w:rFonts w:ascii="Verdana" w:hAnsi="Verdana" w:cs="Times New Roman"/>
          <w:sz w:val="22"/>
          <w:szCs w:val="22"/>
        </w:rPr>
        <w:t>ted by 8</w:t>
      </w:r>
      <w:r w:rsidRPr="0093704C">
        <w:rPr>
          <w:rFonts w:ascii="Verdana" w:hAnsi="Verdana" w:cs="Times New Roman"/>
          <w:sz w:val="22"/>
          <w:szCs w:val="22"/>
        </w:rPr>
        <w:t xml:space="preserve"> high level ‘</w:t>
      </w:r>
      <w:r w:rsidRPr="0093704C">
        <w:rPr>
          <w:rFonts w:ascii="Verdana" w:hAnsi="Verdana" w:cs="Times New Roman"/>
          <w:sz w:val="22"/>
          <w:szCs w:val="22"/>
          <w:lang w:val="fr-FR"/>
        </w:rPr>
        <w:t xml:space="preserve">Purpose targets’ </w:t>
      </w:r>
      <w:r w:rsidRPr="0093704C">
        <w:rPr>
          <w:rFonts w:ascii="Verdana" w:hAnsi="Verdana" w:cs="Times New Roman"/>
          <w:sz w:val="22"/>
          <w:szCs w:val="22"/>
        </w:rPr>
        <w:t>and 16 ‘</w:t>
      </w:r>
      <w:r w:rsidRPr="0093704C">
        <w:rPr>
          <w:rFonts w:ascii="Verdana" w:hAnsi="Verdana" w:cs="Times New Roman"/>
          <w:sz w:val="22"/>
          <w:szCs w:val="22"/>
          <w:lang w:val="pt-PT"/>
        </w:rPr>
        <w:t>National Outcomes</w:t>
      </w:r>
      <w:r w:rsidRPr="0093704C">
        <w:rPr>
          <w:rFonts w:ascii="Verdana" w:hAnsi="Verdana" w:cs="Times New Roman"/>
          <w:sz w:val="22"/>
          <w:szCs w:val="22"/>
          <w:lang w:val="fr-FR"/>
        </w:rPr>
        <w:t>’</w:t>
      </w:r>
      <w:r w:rsidRPr="0093704C">
        <w:rPr>
          <w:rFonts w:ascii="Verdana" w:hAnsi="Verdana" w:cs="Times New Roman"/>
          <w:sz w:val="22"/>
          <w:szCs w:val="22"/>
        </w:rPr>
        <w:t>, which together describe the Government</w:t>
      </w:r>
      <w:r w:rsidRPr="0093704C">
        <w:rPr>
          <w:rFonts w:ascii="Verdana" w:hAnsi="Verdana" w:cs="Times New Roman"/>
          <w:sz w:val="22"/>
          <w:szCs w:val="22"/>
          <w:lang w:val="fr-FR"/>
        </w:rPr>
        <w:t>’</w:t>
      </w:r>
      <w:r w:rsidRPr="0093704C">
        <w:rPr>
          <w:rFonts w:ascii="Verdana" w:hAnsi="Verdana" w:cs="Times New Roman"/>
          <w:sz w:val="22"/>
          <w:szCs w:val="22"/>
        </w:rPr>
        <w:t>s aspirations for Scotland. Fifty ‘</w:t>
      </w:r>
      <w:r w:rsidRPr="0093704C">
        <w:rPr>
          <w:rFonts w:ascii="Verdana" w:hAnsi="Verdana" w:cs="Times New Roman"/>
          <w:sz w:val="22"/>
          <w:szCs w:val="22"/>
          <w:lang w:val="it-IT"/>
        </w:rPr>
        <w:t>National Indicators</w:t>
      </w:r>
      <w:r w:rsidRPr="0093704C">
        <w:rPr>
          <w:rFonts w:ascii="Verdana" w:hAnsi="Verdana" w:cs="Times New Roman"/>
          <w:sz w:val="22"/>
          <w:szCs w:val="22"/>
          <w:lang w:val="fr-FR"/>
        </w:rPr>
        <w:t>’</w:t>
      </w:r>
      <w:r w:rsidRPr="0093704C">
        <w:rPr>
          <w:rFonts w:ascii="Verdana" w:hAnsi="Verdana" w:cs="Times New Roman"/>
          <w:sz w:val="22"/>
          <w:szCs w:val="22"/>
        </w:rPr>
        <w:t>, covering areas such as health, justice, environment, economy, and education with associated measures provide a means to assess progress.</w:t>
      </w:r>
      <w:r w:rsidRPr="0093704C">
        <w:rPr>
          <w:rFonts w:ascii="Verdana" w:hAnsi="Verdana" w:cs="Times New Roman"/>
          <w:sz w:val="22"/>
          <w:szCs w:val="22"/>
          <w:vertAlign w:val="superscript"/>
        </w:rPr>
        <w:footnoteReference w:id="2"/>
      </w:r>
      <w:r w:rsidRPr="0093704C">
        <w:rPr>
          <w:rFonts w:ascii="Verdana" w:hAnsi="Verdana" w:cs="Times New Roman"/>
          <w:sz w:val="22"/>
          <w:szCs w:val="22"/>
        </w:rPr>
        <w:t xml:space="preserve">  It is a complex cross-cutting matrix with many parts of the framework relating to a rang</w:t>
      </w:r>
      <w:r w:rsidR="00FF0309" w:rsidRPr="0093704C">
        <w:rPr>
          <w:rFonts w:ascii="Verdana" w:hAnsi="Verdana" w:cs="Times New Roman"/>
          <w:sz w:val="22"/>
          <w:szCs w:val="22"/>
        </w:rPr>
        <w:t>e</w:t>
      </w:r>
      <w:r w:rsidRPr="0093704C">
        <w:rPr>
          <w:rFonts w:ascii="Verdana" w:hAnsi="Verdana" w:cs="Times New Roman"/>
          <w:sz w:val="22"/>
          <w:szCs w:val="22"/>
        </w:rPr>
        <w:t xml:space="preserve"> of other parts. It is considered an innovative tool that can be used to guide and evaluate policy and encourages partnership working across government.</w:t>
      </w:r>
    </w:p>
    <w:p w14:paraId="21EC0D49" w14:textId="77777777" w:rsidR="0045389F" w:rsidRPr="0093704C" w:rsidRDefault="0045389F">
      <w:pPr>
        <w:pStyle w:val="Body"/>
        <w:rPr>
          <w:rFonts w:ascii="Verdana" w:hAnsi="Verdana" w:cs="Times New Roman"/>
          <w:sz w:val="22"/>
          <w:szCs w:val="22"/>
        </w:rPr>
      </w:pPr>
    </w:p>
    <w:p w14:paraId="77C67352" w14:textId="62062396"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 xml:space="preserve">Thus the NPF is of utmost interest to LINK.  </w:t>
      </w:r>
      <w:r w:rsidR="00EB4043" w:rsidRPr="0093704C">
        <w:rPr>
          <w:rFonts w:ascii="Verdana" w:hAnsi="Verdana" w:cs="Times New Roman"/>
          <w:sz w:val="22"/>
          <w:szCs w:val="22"/>
        </w:rPr>
        <w:t xml:space="preserve">It has the potential to be a powerful tool to both guide policy making and hold government to account.  </w:t>
      </w:r>
      <w:r w:rsidR="0076178C" w:rsidRPr="0093704C">
        <w:rPr>
          <w:rFonts w:ascii="Verdana" w:hAnsi="Verdana" w:cs="Times New Roman"/>
          <w:sz w:val="22"/>
          <w:szCs w:val="22"/>
        </w:rPr>
        <w:t>If it were to reflect the emphasis and hierarchy of</w:t>
      </w:r>
      <w:r w:rsidRPr="0093704C">
        <w:rPr>
          <w:rFonts w:ascii="Verdana" w:hAnsi="Verdana" w:cs="Times New Roman"/>
          <w:sz w:val="22"/>
          <w:szCs w:val="22"/>
        </w:rPr>
        <w:t xml:space="preserve"> </w:t>
      </w:r>
      <w:r w:rsidR="00EB4043" w:rsidRPr="0093704C">
        <w:rPr>
          <w:rFonts w:ascii="Verdana" w:hAnsi="Verdana" w:cs="Times New Roman"/>
          <w:sz w:val="22"/>
          <w:szCs w:val="22"/>
        </w:rPr>
        <w:t xml:space="preserve">sustainable </w:t>
      </w:r>
      <w:r w:rsidR="00EB4043" w:rsidRPr="0093704C">
        <w:rPr>
          <w:rFonts w:ascii="Verdana" w:hAnsi="Verdana" w:cs="Times New Roman"/>
          <w:sz w:val="22"/>
          <w:szCs w:val="22"/>
        </w:rPr>
        <w:lastRenderedPageBreak/>
        <w:t xml:space="preserve">development and </w:t>
      </w:r>
      <w:r w:rsidR="0076178C" w:rsidRPr="0093704C">
        <w:rPr>
          <w:rFonts w:ascii="Verdana" w:hAnsi="Verdana" w:cs="Times New Roman"/>
          <w:sz w:val="22"/>
          <w:szCs w:val="22"/>
        </w:rPr>
        <w:t xml:space="preserve">include robust </w:t>
      </w:r>
      <w:r w:rsidRPr="0093704C">
        <w:rPr>
          <w:rFonts w:ascii="Verdana" w:hAnsi="Verdana" w:cs="Times New Roman"/>
          <w:sz w:val="22"/>
          <w:szCs w:val="22"/>
        </w:rPr>
        <w:t xml:space="preserve">environmental </w:t>
      </w:r>
      <w:r w:rsidR="0076178C" w:rsidRPr="0093704C">
        <w:rPr>
          <w:rFonts w:ascii="Verdana" w:hAnsi="Verdana" w:cs="Times New Roman"/>
          <w:sz w:val="22"/>
          <w:szCs w:val="22"/>
        </w:rPr>
        <w:t>indicators</w:t>
      </w:r>
      <w:r w:rsidRPr="0093704C">
        <w:rPr>
          <w:rFonts w:ascii="Verdana" w:hAnsi="Verdana" w:cs="Times New Roman"/>
          <w:sz w:val="22"/>
          <w:szCs w:val="22"/>
        </w:rPr>
        <w:t xml:space="preserve">, it could be instrumental in the </w:t>
      </w:r>
      <w:r w:rsidR="0076178C" w:rsidRPr="0093704C">
        <w:rPr>
          <w:rFonts w:ascii="Verdana" w:hAnsi="Verdana" w:cs="Times New Roman"/>
          <w:sz w:val="22"/>
          <w:szCs w:val="22"/>
        </w:rPr>
        <w:t>shaping</w:t>
      </w:r>
      <w:r w:rsidRPr="0093704C">
        <w:rPr>
          <w:rFonts w:ascii="Verdana" w:hAnsi="Verdana" w:cs="Times New Roman"/>
          <w:sz w:val="22"/>
          <w:szCs w:val="22"/>
        </w:rPr>
        <w:t xml:space="preserve"> of policies</w:t>
      </w:r>
      <w:r w:rsidR="0076178C" w:rsidRPr="0093704C">
        <w:rPr>
          <w:rFonts w:ascii="Verdana" w:hAnsi="Verdana" w:cs="Times New Roman"/>
          <w:sz w:val="22"/>
          <w:szCs w:val="22"/>
        </w:rPr>
        <w:t xml:space="preserve"> to better address environmental concerns</w:t>
      </w:r>
      <w:r w:rsidRPr="0093704C">
        <w:rPr>
          <w:rFonts w:ascii="Verdana" w:hAnsi="Verdana" w:cs="Times New Roman"/>
          <w:sz w:val="22"/>
          <w:szCs w:val="22"/>
        </w:rPr>
        <w:t xml:space="preserve">.  </w:t>
      </w:r>
    </w:p>
    <w:p w14:paraId="13430DC6" w14:textId="77777777" w:rsidR="0045389F" w:rsidRPr="0093704C" w:rsidRDefault="0045389F">
      <w:pPr>
        <w:pStyle w:val="Body"/>
        <w:rPr>
          <w:rFonts w:ascii="Verdana" w:hAnsi="Verdana" w:cs="Times New Roman"/>
          <w:sz w:val="22"/>
          <w:szCs w:val="22"/>
        </w:rPr>
      </w:pPr>
    </w:p>
    <w:p w14:paraId="0E741782" w14:textId="6D255122"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Although Scotland has received international acclaim for its NPF, there are weaknesses.  The NPF was largely based on ‘Virginia Performs</w:t>
      </w:r>
      <w:r w:rsidRPr="0093704C">
        <w:rPr>
          <w:rFonts w:ascii="Verdana" w:hAnsi="Verdana" w:cs="Times New Roman"/>
          <w:sz w:val="22"/>
          <w:szCs w:val="22"/>
          <w:lang w:val="fr-FR"/>
        </w:rPr>
        <w:t>’</w:t>
      </w:r>
      <w:r w:rsidRPr="0093704C">
        <w:rPr>
          <w:rFonts w:ascii="Verdana" w:hAnsi="Verdana" w:cs="Times New Roman"/>
          <w:sz w:val="22"/>
          <w:szCs w:val="22"/>
          <w:vertAlign w:val="superscript"/>
        </w:rPr>
        <w:footnoteReference w:id="3"/>
      </w:r>
      <w:r w:rsidRPr="0093704C">
        <w:rPr>
          <w:rFonts w:ascii="Verdana" w:hAnsi="Verdana" w:cs="Times New Roman"/>
          <w:sz w:val="22"/>
          <w:szCs w:val="22"/>
        </w:rPr>
        <w:t>, with no public consultation</w:t>
      </w:r>
      <w:r w:rsidRPr="0093704C">
        <w:rPr>
          <w:rFonts w:ascii="Verdana" w:hAnsi="Verdana" w:cs="Times New Roman"/>
          <w:sz w:val="22"/>
          <w:szCs w:val="22"/>
          <w:vertAlign w:val="superscript"/>
        </w:rPr>
        <w:footnoteReference w:id="4"/>
      </w:r>
      <w:r w:rsidRPr="0093704C">
        <w:rPr>
          <w:rFonts w:ascii="Verdana" w:hAnsi="Verdana" w:cs="Times New Roman"/>
          <w:sz w:val="22"/>
          <w:szCs w:val="22"/>
        </w:rPr>
        <w:t>.  Although there have been revisions to some indicators in consultation with other partners, the Framework lacks legitimacy and ‘ownership</w:t>
      </w:r>
      <w:r w:rsidRPr="0093704C">
        <w:rPr>
          <w:rFonts w:ascii="Verdana" w:hAnsi="Verdana" w:cs="Times New Roman"/>
          <w:sz w:val="22"/>
          <w:szCs w:val="22"/>
          <w:lang w:val="fr-FR"/>
        </w:rPr>
        <w:t xml:space="preserve">’ </w:t>
      </w:r>
      <w:r w:rsidRPr="0093704C">
        <w:rPr>
          <w:rFonts w:ascii="Verdana" w:hAnsi="Verdana" w:cs="Times New Roman"/>
          <w:sz w:val="22"/>
          <w:szCs w:val="22"/>
        </w:rPr>
        <w:t>by the public.  It has also been under-used within Government</w:t>
      </w:r>
      <w:r w:rsidR="007D554E" w:rsidRPr="0093704C">
        <w:rPr>
          <w:rFonts w:ascii="Verdana" w:hAnsi="Verdana" w:cs="Times New Roman"/>
          <w:sz w:val="22"/>
          <w:szCs w:val="22"/>
        </w:rPr>
        <w:t xml:space="preserve"> and by the Parliament</w:t>
      </w:r>
      <w:r w:rsidRPr="0093704C">
        <w:rPr>
          <w:rFonts w:ascii="Verdana" w:hAnsi="Verdana" w:cs="Times New Roman"/>
          <w:sz w:val="22"/>
          <w:szCs w:val="22"/>
          <w:vertAlign w:val="superscript"/>
        </w:rPr>
        <w:footnoteReference w:id="5"/>
      </w:r>
      <w:r w:rsidRPr="0093704C">
        <w:rPr>
          <w:rFonts w:ascii="Verdana" w:hAnsi="Verdana" w:cs="Times New Roman"/>
          <w:sz w:val="22"/>
          <w:szCs w:val="22"/>
        </w:rPr>
        <w:t>.  What</w:t>
      </w:r>
      <w:r w:rsidRPr="0093704C">
        <w:rPr>
          <w:rFonts w:ascii="Verdana" w:hAnsi="Verdana" w:cs="Times New Roman"/>
          <w:sz w:val="22"/>
          <w:szCs w:val="22"/>
          <w:lang w:val="fr-FR"/>
        </w:rPr>
        <w:t>’</w:t>
      </w:r>
      <w:r w:rsidRPr="0093704C">
        <w:rPr>
          <w:rFonts w:ascii="Verdana" w:hAnsi="Verdana" w:cs="Times New Roman"/>
          <w:sz w:val="22"/>
          <w:szCs w:val="22"/>
        </w:rPr>
        <w:t>s more, in its current form, it is not delivering sustainable development.  The wording of the ‘Purpose</w:t>
      </w:r>
      <w:r w:rsidRPr="0093704C">
        <w:rPr>
          <w:rFonts w:ascii="Verdana" w:hAnsi="Verdana" w:cs="Times New Roman"/>
          <w:sz w:val="22"/>
          <w:szCs w:val="22"/>
          <w:lang w:val="fr-FR"/>
        </w:rPr>
        <w:t>’</w:t>
      </w:r>
      <w:r w:rsidRPr="0093704C">
        <w:rPr>
          <w:rFonts w:ascii="Verdana" w:hAnsi="Verdana" w:cs="Times New Roman"/>
          <w:sz w:val="22"/>
          <w:szCs w:val="22"/>
        </w:rPr>
        <w:t>, setting out the direction and ambition for Scotland, lays down ‘sustainable economic growth</w:t>
      </w:r>
      <w:r w:rsidRPr="0093704C">
        <w:rPr>
          <w:rFonts w:ascii="Verdana" w:hAnsi="Verdana" w:cs="Times New Roman"/>
          <w:sz w:val="22"/>
          <w:szCs w:val="22"/>
          <w:lang w:val="fr-FR"/>
        </w:rPr>
        <w:t xml:space="preserve">’ </w:t>
      </w:r>
      <w:r w:rsidRPr="0093704C">
        <w:rPr>
          <w:rFonts w:ascii="Verdana" w:hAnsi="Verdana" w:cs="Times New Roman"/>
          <w:sz w:val="22"/>
          <w:szCs w:val="22"/>
        </w:rPr>
        <w:t>as the ve</w:t>
      </w:r>
      <w:r w:rsidR="00674C5B" w:rsidRPr="0093704C">
        <w:rPr>
          <w:rFonts w:ascii="Verdana" w:hAnsi="Verdana" w:cs="Times New Roman"/>
          <w:sz w:val="22"/>
          <w:szCs w:val="22"/>
        </w:rPr>
        <w:t>hicle to a flourishing Scotland</w:t>
      </w:r>
      <w:r w:rsidR="00FA1680" w:rsidRPr="0093704C">
        <w:rPr>
          <w:rFonts w:ascii="Verdana" w:hAnsi="Verdana" w:cs="Times New Roman"/>
          <w:sz w:val="22"/>
          <w:szCs w:val="22"/>
        </w:rPr>
        <w:t xml:space="preserve"> </w:t>
      </w:r>
      <w:r w:rsidR="00515760" w:rsidRPr="0093704C">
        <w:rPr>
          <w:rFonts w:ascii="Verdana" w:hAnsi="Verdana" w:cs="Times New Roman"/>
          <w:sz w:val="22"/>
          <w:szCs w:val="22"/>
        </w:rPr>
        <w:t>–</w:t>
      </w:r>
      <w:r w:rsidR="00FA1680" w:rsidRPr="0093704C">
        <w:rPr>
          <w:rFonts w:ascii="Verdana" w:hAnsi="Verdana" w:cs="Times New Roman"/>
          <w:sz w:val="22"/>
          <w:szCs w:val="22"/>
        </w:rPr>
        <w:t xml:space="preserve"> </w:t>
      </w:r>
      <w:r w:rsidR="00515760" w:rsidRPr="0093704C">
        <w:rPr>
          <w:rFonts w:ascii="Verdana" w:hAnsi="Verdana" w:cs="Times New Roman"/>
          <w:sz w:val="22"/>
          <w:szCs w:val="22"/>
        </w:rPr>
        <w:t>‘</w:t>
      </w:r>
      <w:r w:rsidR="00515760" w:rsidRPr="0093704C">
        <w:rPr>
          <w:rFonts w:ascii="Verdana" w:eastAsia="Times New Roman" w:hAnsi="Verdana" w:cs="Times New Roman"/>
          <w:i/>
          <w:sz w:val="22"/>
          <w:szCs w:val="22"/>
        </w:rPr>
        <w:t>creating a more successful country, with opportunities for all of Scotland to flourish, through increasing sustainable economic growth’</w:t>
      </w:r>
      <w:r w:rsidRPr="0093704C">
        <w:rPr>
          <w:rFonts w:ascii="Verdana" w:hAnsi="Verdana" w:cs="Times New Roman"/>
          <w:sz w:val="22"/>
          <w:szCs w:val="22"/>
        </w:rPr>
        <w:t xml:space="preserve">.  This Purpose was set out in the 2007 Spending Review and has remained unchanged. </w:t>
      </w:r>
    </w:p>
    <w:p w14:paraId="16B6A102" w14:textId="77777777" w:rsidR="0045389F" w:rsidRPr="0093704C" w:rsidRDefault="0045389F">
      <w:pPr>
        <w:pStyle w:val="Body"/>
        <w:rPr>
          <w:rFonts w:ascii="Verdana" w:hAnsi="Verdana" w:cs="Times New Roman"/>
          <w:sz w:val="22"/>
          <w:szCs w:val="22"/>
        </w:rPr>
      </w:pPr>
    </w:p>
    <w:p w14:paraId="774B87D7" w14:textId="77777777"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The Carnegie UK Trust</w:t>
      </w:r>
      <w:r w:rsidRPr="0093704C">
        <w:rPr>
          <w:rFonts w:ascii="Verdana" w:hAnsi="Verdana" w:cs="Times New Roman"/>
          <w:sz w:val="22"/>
          <w:szCs w:val="22"/>
          <w:vertAlign w:val="superscript"/>
        </w:rPr>
        <w:footnoteReference w:id="6"/>
      </w:r>
      <w:r w:rsidRPr="0093704C">
        <w:rPr>
          <w:rFonts w:ascii="Verdana" w:hAnsi="Verdana" w:cs="Times New Roman"/>
          <w:sz w:val="22"/>
          <w:szCs w:val="22"/>
        </w:rPr>
        <w:t xml:space="preserve"> looked in some detail at the NPF in the context of other initiatives and made several recommendations:</w:t>
      </w:r>
    </w:p>
    <w:p w14:paraId="27A73333" w14:textId="77777777" w:rsidR="0045389F" w:rsidRPr="0093704C" w:rsidRDefault="00AB4F16" w:rsidP="0077067E">
      <w:pPr>
        <w:pStyle w:val="ListParagraph"/>
        <w:numPr>
          <w:ilvl w:val="0"/>
          <w:numId w:val="2"/>
        </w:numPr>
        <w:tabs>
          <w:tab w:val="num" w:pos="720"/>
        </w:tabs>
        <w:ind w:hanging="360"/>
        <w:rPr>
          <w:rFonts w:ascii="Verdana" w:hAnsi="Verdana" w:cs="Times New Roman"/>
          <w:sz w:val="22"/>
          <w:szCs w:val="22"/>
        </w:rPr>
      </w:pPr>
      <w:r w:rsidRPr="0093704C">
        <w:rPr>
          <w:rFonts w:ascii="Verdana" w:hAnsi="Verdana" w:cs="Times New Roman"/>
          <w:sz w:val="22"/>
          <w:szCs w:val="22"/>
        </w:rPr>
        <w:t>The NPF be embedded in legislation and its use in policy making be reviewed;</w:t>
      </w:r>
    </w:p>
    <w:p w14:paraId="5463FB2D" w14:textId="77777777" w:rsidR="0045389F" w:rsidRPr="0093704C" w:rsidRDefault="00AB4F16" w:rsidP="0077067E">
      <w:pPr>
        <w:pStyle w:val="ListParagraph"/>
        <w:numPr>
          <w:ilvl w:val="0"/>
          <w:numId w:val="3"/>
        </w:numPr>
        <w:tabs>
          <w:tab w:val="num" w:pos="720"/>
        </w:tabs>
        <w:ind w:hanging="360"/>
        <w:rPr>
          <w:rFonts w:ascii="Verdana" w:hAnsi="Verdana" w:cs="Times New Roman"/>
          <w:sz w:val="22"/>
          <w:szCs w:val="22"/>
        </w:rPr>
      </w:pPr>
      <w:r w:rsidRPr="0093704C">
        <w:rPr>
          <w:rFonts w:ascii="Verdana" w:hAnsi="Verdana" w:cs="Times New Roman"/>
          <w:sz w:val="22"/>
          <w:szCs w:val="22"/>
        </w:rPr>
        <w:t xml:space="preserve">Government engage with the public and civic society in a refresh of the Framework, and </w:t>
      </w:r>
    </w:p>
    <w:p w14:paraId="43855B91" w14:textId="24B28D1F" w:rsidR="00AF03BC" w:rsidRPr="0093704C" w:rsidRDefault="00AB4F16" w:rsidP="00AF03BC">
      <w:pPr>
        <w:pStyle w:val="ListParagraph"/>
        <w:numPr>
          <w:ilvl w:val="0"/>
          <w:numId w:val="4"/>
        </w:numPr>
        <w:tabs>
          <w:tab w:val="num" w:pos="720"/>
        </w:tabs>
        <w:ind w:hanging="360"/>
        <w:rPr>
          <w:rFonts w:ascii="Verdana" w:hAnsi="Verdana" w:cs="Times New Roman"/>
          <w:sz w:val="22"/>
          <w:szCs w:val="22"/>
        </w:rPr>
      </w:pPr>
      <w:r w:rsidRPr="0093704C">
        <w:rPr>
          <w:rFonts w:ascii="Verdana" w:hAnsi="Verdana" w:cs="Times New Roman"/>
          <w:sz w:val="22"/>
          <w:szCs w:val="22"/>
        </w:rPr>
        <w:t>The Framework is used to facilitate a holistic evaluation of wellbeing.</w:t>
      </w:r>
    </w:p>
    <w:p w14:paraId="320CE88D" w14:textId="77777777" w:rsidR="0045389F" w:rsidRPr="0093704C" w:rsidRDefault="0045389F">
      <w:pPr>
        <w:pStyle w:val="Body"/>
        <w:rPr>
          <w:rFonts w:ascii="Verdana" w:hAnsi="Verdana" w:cs="Times New Roman"/>
          <w:sz w:val="22"/>
          <w:szCs w:val="22"/>
        </w:rPr>
      </w:pPr>
    </w:p>
    <w:p w14:paraId="70DCB3D4" w14:textId="77777777" w:rsidR="00AF03BC" w:rsidRPr="0093704C" w:rsidRDefault="00AF03BC">
      <w:pPr>
        <w:pStyle w:val="Body"/>
        <w:rPr>
          <w:rFonts w:ascii="Verdana" w:hAnsi="Verdana" w:cs="Times New Roman"/>
          <w:sz w:val="22"/>
          <w:szCs w:val="22"/>
        </w:rPr>
      </w:pPr>
    </w:p>
    <w:p w14:paraId="34422ADC" w14:textId="1C82E779"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In 2013 the Scottish Government set up a Roundtable to revise the NPF.  It is attended by MSPs, civil servants, academics and representatives from the Carnegie UK Trust, Scottish Environment LINK, N</w:t>
      </w:r>
      <w:r w:rsidR="0065098A" w:rsidRPr="0093704C">
        <w:rPr>
          <w:rFonts w:ascii="Verdana" w:hAnsi="Verdana" w:cs="Times New Roman"/>
          <w:sz w:val="22"/>
          <w:szCs w:val="22"/>
        </w:rPr>
        <w:t xml:space="preserve">ew </w:t>
      </w:r>
      <w:r w:rsidRPr="0093704C">
        <w:rPr>
          <w:rFonts w:ascii="Verdana" w:hAnsi="Verdana" w:cs="Times New Roman"/>
          <w:sz w:val="22"/>
          <w:szCs w:val="22"/>
        </w:rPr>
        <w:t>E</w:t>
      </w:r>
      <w:r w:rsidR="0065098A" w:rsidRPr="0093704C">
        <w:rPr>
          <w:rFonts w:ascii="Verdana" w:hAnsi="Verdana" w:cs="Times New Roman"/>
          <w:sz w:val="22"/>
          <w:szCs w:val="22"/>
        </w:rPr>
        <w:t xml:space="preserve">conomics </w:t>
      </w:r>
      <w:r w:rsidRPr="0093704C">
        <w:rPr>
          <w:rFonts w:ascii="Verdana" w:hAnsi="Verdana" w:cs="Times New Roman"/>
          <w:sz w:val="22"/>
          <w:szCs w:val="22"/>
        </w:rPr>
        <w:t>F</w:t>
      </w:r>
      <w:r w:rsidR="0065098A" w:rsidRPr="0093704C">
        <w:rPr>
          <w:rFonts w:ascii="Verdana" w:hAnsi="Verdana" w:cs="Times New Roman"/>
          <w:sz w:val="22"/>
          <w:szCs w:val="22"/>
        </w:rPr>
        <w:t>oundation</w:t>
      </w:r>
      <w:r w:rsidRPr="0093704C">
        <w:rPr>
          <w:rFonts w:ascii="Verdana" w:hAnsi="Verdana" w:cs="Times New Roman"/>
          <w:sz w:val="22"/>
          <w:szCs w:val="22"/>
        </w:rPr>
        <w:t xml:space="preserve"> and Oxfam.</w:t>
      </w:r>
      <w:r w:rsidR="00CB31F1" w:rsidRPr="0093704C">
        <w:rPr>
          <w:rFonts w:ascii="Verdana" w:hAnsi="Verdana" w:cs="Times New Roman"/>
          <w:sz w:val="22"/>
          <w:szCs w:val="22"/>
        </w:rPr>
        <w:t xml:space="preserve">  </w:t>
      </w:r>
      <w:r w:rsidR="00EB4043" w:rsidRPr="0093704C">
        <w:rPr>
          <w:rFonts w:ascii="Verdana" w:hAnsi="Verdana" w:cs="Times New Roman"/>
          <w:sz w:val="22"/>
          <w:szCs w:val="22"/>
        </w:rPr>
        <w:t>Notably, i</w:t>
      </w:r>
      <w:r w:rsidR="00CB31F1" w:rsidRPr="0093704C">
        <w:rPr>
          <w:rFonts w:ascii="Verdana" w:hAnsi="Verdana" w:cs="Times New Roman"/>
          <w:sz w:val="22"/>
          <w:szCs w:val="22"/>
        </w:rPr>
        <w:t>t</w:t>
      </w:r>
      <w:r w:rsidRPr="0093704C">
        <w:rPr>
          <w:rFonts w:ascii="Verdana" w:hAnsi="Verdana" w:cs="Times New Roman"/>
          <w:sz w:val="22"/>
          <w:szCs w:val="22"/>
        </w:rPr>
        <w:t xml:space="preserve"> does not include representatives of the business sector, a key player</w:t>
      </w:r>
      <w:r w:rsidR="00EB4043" w:rsidRPr="0093704C">
        <w:rPr>
          <w:rFonts w:ascii="Verdana" w:hAnsi="Verdana" w:cs="Times New Roman"/>
          <w:sz w:val="22"/>
          <w:szCs w:val="22"/>
        </w:rPr>
        <w:t>, which is a cause of concern</w:t>
      </w:r>
      <w:r w:rsidRPr="0093704C">
        <w:rPr>
          <w:rFonts w:ascii="Verdana" w:hAnsi="Verdana" w:cs="Times New Roman"/>
          <w:sz w:val="22"/>
          <w:szCs w:val="22"/>
        </w:rPr>
        <w:t>. Three work streams have emerged:</w:t>
      </w:r>
    </w:p>
    <w:p w14:paraId="69731841" w14:textId="77777777" w:rsidR="0045389F" w:rsidRPr="0093704C" w:rsidRDefault="00AB4F16" w:rsidP="0077067E">
      <w:pPr>
        <w:pStyle w:val="ListParagraph"/>
        <w:numPr>
          <w:ilvl w:val="0"/>
          <w:numId w:val="5"/>
        </w:numPr>
        <w:tabs>
          <w:tab w:val="num" w:pos="720"/>
        </w:tabs>
        <w:ind w:hanging="360"/>
        <w:rPr>
          <w:rFonts w:ascii="Verdana" w:hAnsi="Verdana" w:cs="Times New Roman"/>
          <w:sz w:val="22"/>
          <w:szCs w:val="22"/>
        </w:rPr>
      </w:pPr>
      <w:r w:rsidRPr="0093704C">
        <w:rPr>
          <w:rFonts w:ascii="Verdana" w:hAnsi="Verdana" w:cs="Times New Roman"/>
          <w:sz w:val="22"/>
          <w:szCs w:val="22"/>
        </w:rPr>
        <w:t>Engagement with Parliament (Budget scrutiny, embedding in legislation)</w:t>
      </w:r>
    </w:p>
    <w:p w14:paraId="7F7669C0" w14:textId="77777777" w:rsidR="0045389F" w:rsidRPr="0093704C" w:rsidRDefault="00AB4F16" w:rsidP="0077067E">
      <w:pPr>
        <w:pStyle w:val="ListParagraph"/>
        <w:numPr>
          <w:ilvl w:val="0"/>
          <w:numId w:val="5"/>
        </w:numPr>
        <w:tabs>
          <w:tab w:val="num" w:pos="720"/>
        </w:tabs>
        <w:ind w:hanging="360"/>
        <w:rPr>
          <w:rFonts w:ascii="Verdana" w:hAnsi="Verdana" w:cs="Times New Roman"/>
          <w:sz w:val="22"/>
          <w:szCs w:val="22"/>
        </w:rPr>
      </w:pPr>
      <w:r w:rsidRPr="0093704C">
        <w:rPr>
          <w:rFonts w:ascii="Verdana" w:hAnsi="Verdana" w:cs="Times New Roman"/>
          <w:sz w:val="22"/>
          <w:szCs w:val="22"/>
        </w:rPr>
        <w:t>Presentation and Communication (Website improvement and communication strategy)</w:t>
      </w:r>
    </w:p>
    <w:p w14:paraId="7CC3D96A" w14:textId="77777777" w:rsidR="0045389F" w:rsidRPr="0093704C" w:rsidRDefault="00AB4F16" w:rsidP="0077067E">
      <w:pPr>
        <w:pStyle w:val="ListParagraph"/>
        <w:numPr>
          <w:ilvl w:val="0"/>
          <w:numId w:val="5"/>
        </w:numPr>
        <w:tabs>
          <w:tab w:val="num" w:pos="720"/>
        </w:tabs>
        <w:ind w:hanging="360"/>
        <w:rPr>
          <w:rFonts w:ascii="Verdana" w:hAnsi="Verdana" w:cs="Times New Roman"/>
          <w:sz w:val="22"/>
          <w:szCs w:val="22"/>
        </w:rPr>
      </w:pPr>
      <w:r w:rsidRPr="0093704C">
        <w:rPr>
          <w:rFonts w:ascii="Verdana" w:hAnsi="Verdana" w:cs="Times New Roman"/>
          <w:sz w:val="22"/>
          <w:szCs w:val="22"/>
        </w:rPr>
        <w:t>Improving indicators and participation (reviewing the scope of indicators and the need for consultation).</w:t>
      </w:r>
    </w:p>
    <w:p w14:paraId="0078C2A7" w14:textId="77777777" w:rsidR="0045389F" w:rsidRPr="0093704C" w:rsidRDefault="0045389F">
      <w:pPr>
        <w:pStyle w:val="ListParagraph"/>
        <w:rPr>
          <w:rFonts w:ascii="Verdana" w:hAnsi="Verdana" w:cs="Times New Roman"/>
          <w:sz w:val="22"/>
          <w:szCs w:val="22"/>
        </w:rPr>
      </w:pPr>
    </w:p>
    <w:p w14:paraId="33D03FFC" w14:textId="6B8EB53C"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Work groups (dedicated to the three work str</w:t>
      </w:r>
      <w:r w:rsidR="0093704C" w:rsidRPr="0093704C">
        <w:rPr>
          <w:rFonts w:ascii="Verdana" w:hAnsi="Verdana" w:cs="Times New Roman"/>
          <w:sz w:val="22"/>
          <w:szCs w:val="22"/>
        </w:rPr>
        <w:t>eams) are due to report to the R</w:t>
      </w:r>
      <w:r w:rsidRPr="0093704C">
        <w:rPr>
          <w:rFonts w:ascii="Verdana" w:hAnsi="Verdana" w:cs="Times New Roman"/>
          <w:sz w:val="22"/>
          <w:szCs w:val="22"/>
        </w:rPr>
        <w:t>oundtable in the late spring/early summer 2014.  In February 2014 LINK submitted a briefing ‘Revising Scotland’s National</w:t>
      </w:r>
      <w:r w:rsidR="0093704C" w:rsidRPr="0093704C">
        <w:rPr>
          <w:rFonts w:ascii="Verdana" w:hAnsi="Verdana" w:cs="Times New Roman"/>
          <w:sz w:val="22"/>
          <w:szCs w:val="22"/>
        </w:rPr>
        <w:t xml:space="preserve"> Performance Framework’ to the R</w:t>
      </w:r>
      <w:r w:rsidRPr="0093704C">
        <w:rPr>
          <w:rFonts w:ascii="Verdana" w:hAnsi="Verdana" w:cs="Times New Roman"/>
          <w:sz w:val="22"/>
          <w:szCs w:val="22"/>
        </w:rPr>
        <w:t>oundtable, supported by 37 organisations</w:t>
      </w:r>
      <w:r w:rsidR="0076178C" w:rsidRPr="0093704C">
        <w:rPr>
          <w:rFonts w:ascii="Verdana" w:hAnsi="Verdana" w:cs="Times New Roman"/>
          <w:sz w:val="22"/>
          <w:szCs w:val="22"/>
        </w:rPr>
        <w:t xml:space="preserve">, including </w:t>
      </w:r>
      <w:r w:rsidR="0076178C" w:rsidRPr="0093704C">
        <w:rPr>
          <w:rFonts w:ascii="Verdana" w:hAnsi="Verdana" w:cs="Times New Roman"/>
          <w:sz w:val="22"/>
          <w:szCs w:val="22"/>
        </w:rPr>
        <w:lastRenderedPageBreak/>
        <w:t xml:space="preserve">Oxfam, STUC, Church of Scotland.  </w:t>
      </w:r>
      <w:r w:rsidRPr="0093704C">
        <w:rPr>
          <w:rFonts w:ascii="Verdana" w:hAnsi="Verdana" w:cs="Times New Roman"/>
          <w:sz w:val="22"/>
          <w:szCs w:val="22"/>
        </w:rPr>
        <w:t xml:space="preserve">It called for the government to remove the </w:t>
      </w:r>
      <w:r w:rsidR="00CB31F1" w:rsidRPr="0093704C">
        <w:rPr>
          <w:rFonts w:ascii="Verdana" w:hAnsi="Verdana" w:cs="Times New Roman"/>
          <w:sz w:val="22"/>
          <w:szCs w:val="22"/>
        </w:rPr>
        <w:t>reference to ‘growth’ from its p</w:t>
      </w:r>
      <w:r w:rsidRPr="0093704C">
        <w:rPr>
          <w:rFonts w:ascii="Verdana" w:hAnsi="Verdana" w:cs="Times New Roman"/>
          <w:sz w:val="22"/>
          <w:szCs w:val="22"/>
        </w:rPr>
        <w:t>urpose and to replace the purpose targets to reflect the range of social, environmental and economic factors that underpin our long term prosperity</w:t>
      </w:r>
      <w:r w:rsidRPr="0093704C">
        <w:rPr>
          <w:rFonts w:ascii="Verdana" w:eastAsia="Times New Roman" w:hAnsi="Verdana" w:cs="Times New Roman"/>
          <w:sz w:val="22"/>
          <w:szCs w:val="22"/>
          <w:vertAlign w:val="superscript"/>
        </w:rPr>
        <w:footnoteReference w:id="7"/>
      </w:r>
      <w:r w:rsidRPr="0093704C">
        <w:rPr>
          <w:rFonts w:ascii="Verdana" w:hAnsi="Verdana" w:cs="Times New Roman"/>
          <w:sz w:val="22"/>
          <w:szCs w:val="22"/>
        </w:rPr>
        <w:t xml:space="preserve">.  </w:t>
      </w:r>
      <w:r w:rsidR="000A0ADE">
        <w:rPr>
          <w:rFonts w:ascii="Verdana" w:hAnsi="Verdana" w:cs="Times New Roman"/>
          <w:sz w:val="22"/>
          <w:szCs w:val="22"/>
        </w:rPr>
        <w:t>The</w:t>
      </w:r>
      <w:r w:rsidR="0076178C" w:rsidRPr="0093704C">
        <w:rPr>
          <w:rFonts w:ascii="Verdana" w:hAnsi="Verdana" w:cs="Times New Roman"/>
          <w:sz w:val="22"/>
          <w:szCs w:val="22"/>
        </w:rPr>
        <w:t xml:space="preserve"> Briefing was welcomed by the Roundtable</w:t>
      </w:r>
      <w:r w:rsidR="0093704C" w:rsidRPr="0093704C">
        <w:rPr>
          <w:rFonts w:ascii="Verdana" w:hAnsi="Verdana" w:cs="Times New Roman"/>
          <w:sz w:val="22"/>
          <w:szCs w:val="22"/>
        </w:rPr>
        <w:t xml:space="preserve"> and they are considering its recommendations.</w:t>
      </w:r>
    </w:p>
    <w:p w14:paraId="57336CAE" w14:textId="77777777" w:rsidR="0045389F" w:rsidRDefault="0045389F">
      <w:pPr>
        <w:pStyle w:val="ListParagraph"/>
        <w:ind w:left="0"/>
        <w:rPr>
          <w:rFonts w:ascii="Verdana" w:hAnsi="Verdana" w:cs="Times New Roman"/>
          <w:b/>
          <w:bCs/>
          <w:sz w:val="22"/>
          <w:szCs w:val="22"/>
        </w:rPr>
      </w:pPr>
    </w:p>
    <w:p w14:paraId="5CCB9DCE" w14:textId="77777777" w:rsidR="000A0ADE" w:rsidRPr="0093704C" w:rsidRDefault="000A0ADE">
      <w:pPr>
        <w:pStyle w:val="ListParagraph"/>
        <w:ind w:left="0"/>
        <w:rPr>
          <w:rFonts w:ascii="Verdana" w:hAnsi="Verdana" w:cs="Times New Roman"/>
          <w:b/>
          <w:bCs/>
          <w:sz w:val="22"/>
          <w:szCs w:val="22"/>
        </w:rPr>
      </w:pPr>
    </w:p>
    <w:p w14:paraId="6ADD3526" w14:textId="77777777" w:rsidR="0045389F" w:rsidRPr="00950E2A" w:rsidRDefault="00AB4F16">
      <w:pPr>
        <w:pStyle w:val="ListParagraph"/>
        <w:ind w:left="0"/>
        <w:rPr>
          <w:rFonts w:ascii="Verdana" w:hAnsi="Verdana" w:cs="Times New Roman"/>
          <w:b/>
          <w:bCs/>
        </w:rPr>
      </w:pPr>
      <w:r w:rsidRPr="00950E2A">
        <w:rPr>
          <w:rFonts w:ascii="Verdana" w:hAnsi="Verdana" w:cs="Times New Roman"/>
          <w:b/>
        </w:rPr>
        <w:t>3.</w:t>
      </w:r>
      <w:r w:rsidRPr="00950E2A">
        <w:rPr>
          <w:rFonts w:ascii="Verdana" w:hAnsi="Verdana" w:cs="Times New Roman"/>
          <w:b/>
        </w:rPr>
        <w:tab/>
        <w:t>The Wider Context</w:t>
      </w:r>
    </w:p>
    <w:p w14:paraId="434CE48C" w14:textId="77777777" w:rsidR="0045389F" w:rsidRPr="0093704C" w:rsidRDefault="0045389F">
      <w:pPr>
        <w:pStyle w:val="ListParagraph"/>
        <w:ind w:left="0"/>
        <w:rPr>
          <w:rFonts w:ascii="Verdana" w:hAnsi="Verdana" w:cs="Times New Roman"/>
          <w:b/>
          <w:bCs/>
          <w:sz w:val="22"/>
          <w:szCs w:val="22"/>
        </w:rPr>
      </w:pPr>
    </w:p>
    <w:p w14:paraId="77E89E81" w14:textId="250F1F46"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What is sustainable economic growth and how does it relate to sustainable development?  What does GDP actually measure, what are its shortfalls and what are the alternatives?  The following</w:t>
      </w:r>
      <w:r w:rsidR="005C7907" w:rsidRPr="0093704C">
        <w:rPr>
          <w:rFonts w:ascii="Verdana" w:hAnsi="Verdana" w:cs="Times New Roman"/>
          <w:sz w:val="22"/>
          <w:szCs w:val="22"/>
        </w:rPr>
        <w:t xml:space="preserve"> sections will elaborate on these themes</w:t>
      </w:r>
      <w:r w:rsidRPr="0093704C">
        <w:rPr>
          <w:rFonts w:ascii="Verdana" w:hAnsi="Verdana" w:cs="Times New Roman"/>
          <w:sz w:val="22"/>
          <w:szCs w:val="22"/>
        </w:rPr>
        <w:t>.</w:t>
      </w:r>
    </w:p>
    <w:p w14:paraId="3215BE4A" w14:textId="77777777" w:rsidR="0045389F" w:rsidRPr="0093704C" w:rsidRDefault="0045389F">
      <w:pPr>
        <w:pStyle w:val="ListParagraph"/>
        <w:ind w:left="0"/>
        <w:rPr>
          <w:rFonts w:ascii="Verdana" w:hAnsi="Verdana" w:cs="Times New Roman"/>
          <w:sz w:val="22"/>
          <w:szCs w:val="22"/>
        </w:rPr>
      </w:pPr>
    </w:p>
    <w:p w14:paraId="0731E771" w14:textId="77777777" w:rsidR="0045389F" w:rsidRPr="0093704C" w:rsidRDefault="00AB4F16">
      <w:pPr>
        <w:pStyle w:val="ListParagraph"/>
        <w:ind w:left="0"/>
        <w:rPr>
          <w:rFonts w:ascii="Verdana" w:hAnsi="Verdana" w:cs="Times New Roman"/>
          <w:b/>
          <w:sz w:val="22"/>
          <w:szCs w:val="22"/>
        </w:rPr>
      </w:pPr>
      <w:r w:rsidRPr="0093704C">
        <w:rPr>
          <w:rFonts w:ascii="Verdana" w:hAnsi="Verdana" w:cs="Times New Roman"/>
          <w:b/>
          <w:sz w:val="22"/>
          <w:szCs w:val="22"/>
        </w:rPr>
        <w:t>3.1</w:t>
      </w:r>
      <w:r w:rsidRPr="0093704C">
        <w:rPr>
          <w:rFonts w:ascii="Verdana" w:hAnsi="Verdana" w:cs="Times New Roman"/>
          <w:b/>
          <w:sz w:val="22"/>
          <w:szCs w:val="22"/>
        </w:rPr>
        <w:tab/>
        <w:t>Sustainable Development and Sustainable Economic Growth</w:t>
      </w:r>
    </w:p>
    <w:p w14:paraId="12F7E1CC" w14:textId="77777777" w:rsidR="00153819" w:rsidRPr="0093704C" w:rsidRDefault="00153819" w:rsidP="0068476A">
      <w:pPr>
        <w:pStyle w:val="Default"/>
        <w:rPr>
          <w:rFonts w:ascii="Verdana" w:hAnsi="Verdana" w:cs="Times New Roman"/>
          <w:color w:val="auto"/>
        </w:rPr>
      </w:pPr>
    </w:p>
    <w:p w14:paraId="20888343" w14:textId="082E5F17" w:rsidR="00AB4F16" w:rsidRPr="0093704C" w:rsidRDefault="00AB4F16" w:rsidP="0068476A">
      <w:pPr>
        <w:pStyle w:val="Default"/>
        <w:rPr>
          <w:rFonts w:ascii="Verdana" w:hAnsi="Verdana" w:cs="Times New Roman"/>
          <w:color w:val="252525"/>
        </w:rPr>
      </w:pPr>
      <w:r w:rsidRPr="0093704C">
        <w:rPr>
          <w:rFonts w:ascii="Verdana" w:hAnsi="Verdana" w:cs="Times New Roman"/>
          <w:color w:val="auto"/>
        </w:rPr>
        <w:t xml:space="preserve">Sustainable development is an organizing principle for human life on a finite planet. It is based on a desirable state for human societies in which living conditions and resource-use meet human needs without undermining the sustainability of natural systems and the environment, leaving them intact for future societies.  The term </w:t>
      </w:r>
      <w:r w:rsidRPr="0093704C">
        <w:rPr>
          <w:rFonts w:ascii="Verdana" w:hAnsi="Verdana" w:cs="Times New Roman"/>
          <w:iCs/>
          <w:color w:val="auto"/>
        </w:rPr>
        <w:t>sustainable development</w:t>
      </w:r>
      <w:r w:rsidRPr="0093704C">
        <w:rPr>
          <w:rFonts w:ascii="Verdana" w:hAnsi="Verdana" w:cs="Times New Roman"/>
          <w:color w:val="auto"/>
        </w:rPr>
        <w:t xml:space="preserve"> rose to significance after it was used by the Bruntland Commission in its 1987 report </w:t>
      </w:r>
      <w:r w:rsidRPr="0093704C">
        <w:rPr>
          <w:rFonts w:ascii="Verdana" w:hAnsi="Verdana" w:cs="Times New Roman"/>
          <w:i/>
          <w:color w:val="auto"/>
        </w:rPr>
        <w:t>Our Common Future</w:t>
      </w:r>
      <w:r w:rsidRPr="0093704C">
        <w:rPr>
          <w:rFonts w:ascii="Verdana" w:hAnsi="Verdana" w:cs="Times New Roman"/>
          <w:color w:val="auto"/>
        </w:rPr>
        <w:t>, which defined sustainable development as:  ‘</w:t>
      </w:r>
      <w:r w:rsidRPr="0093704C">
        <w:rPr>
          <w:rFonts w:ascii="Verdana" w:hAnsi="Verdana" w:cs="Times New Roman"/>
          <w:i/>
          <w:color w:val="auto"/>
        </w:rPr>
        <w:t>development that meets the needs of the present without compromising the ability of future generations to meet their own needs’</w:t>
      </w:r>
      <w:r w:rsidRPr="0093704C">
        <w:rPr>
          <w:rFonts w:ascii="Verdana" w:eastAsia="Times New Roman Bold" w:hAnsi="Verdana" w:cs="Times New Roman"/>
          <w:color w:val="auto"/>
          <w:vertAlign w:val="superscript"/>
        </w:rPr>
        <w:footnoteReference w:id="8"/>
      </w:r>
      <w:r w:rsidRPr="0093704C">
        <w:rPr>
          <w:rFonts w:ascii="Verdana" w:hAnsi="Verdana" w:cs="Times New Roman"/>
          <w:color w:val="auto"/>
        </w:rPr>
        <w:t xml:space="preserve">. The concept began to pervade policy after the United Nations Conference on Environment and Development in Rio in 1992, initially through the </w:t>
      </w:r>
      <w:r w:rsidRPr="0093704C">
        <w:rPr>
          <w:rFonts w:ascii="Verdana" w:hAnsi="Verdana" w:cs="Times New Roman"/>
          <w:i/>
          <w:color w:val="auto"/>
        </w:rPr>
        <w:t>Rio Declaration</w:t>
      </w:r>
      <w:r w:rsidRPr="0093704C">
        <w:rPr>
          <w:rFonts w:ascii="Verdana" w:hAnsi="Verdana" w:cs="Times New Roman"/>
          <w:color w:val="auto"/>
        </w:rPr>
        <w:t xml:space="preserve"> and </w:t>
      </w:r>
      <w:r w:rsidRPr="0093704C">
        <w:rPr>
          <w:rFonts w:ascii="Verdana" w:hAnsi="Verdana" w:cs="Times New Roman"/>
          <w:i/>
          <w:color w:val="auto"/>
        </w:rPr>
        <w:t>Agenda 21</w:t>
      </w:r>
      <w:r w:rsidRPr="0093704C">
        <w:rPr>
          <w:rFonts w:ascii="Verdana" w:hAnsi="Verdana" w:cs="Times New Roman"/>
          <w:color w:val="auto"/>
        </w:rPr>
        <w:t>.  More recently, five principles have emerged as the basis of sustainable development: living within environmental limits; ensuring a strong, healthy and just society; achieving a sustainable economy; using sound science responsibly; and promoting good governance. There is also a hierarchy as shown in the diagram, with the economy, science and governance serving the aims of a healthy society whilst keeping within</w:t>
      </w:r>
      <w:r w:rsidRPr="0093704C">
        <w:rPr>
          <w:rFonts w:ascii="Verdana" w:hAnsi="Verdana" w:cs="Times New Roman"/>
          <w:color w:val="252525"/>
        </w:rPr>
        <w:t xml:space="preserve"> environmental limits.  The Scottish Government is signed up to these </w:t>
      </w:r>
    </w:p>
    <w:p w14:paraId="3020776F" w14:textId="77777777" w:rsidR="0045389F" w:rsidRPr="0093704C" w:rsidRDefault="00AB4F16" w:rsidP="0068476A">
      <w:pPr>
        <w:pStyle w:val="Default"/>
        <w:rPr>
          <w:rFonts w:ascii="Verdana" w:hAnsi="Verdana" w:cs="Times New Roman"/>
          <w:color w:val="252525"/>
        </w:rPr>
      </w:pPr>
      <w:r w:rsidRPr="0093704C">
        <w:rPr>
          <w:rFonts w:ascii="Verdana" w:hAnsi="Verdana" w:cs="Times New Roman"/>
          <w:color w:val="252525"/>
        </w:rPr>
        <w:t>principles</w:t>
      </w:r>
      <w:r w:rsidRPr="0093704C">
        <w:rPr>
          <w:rFonts w:ascii="Verdana" w:eastAsia="Times New Roman Bold" w:hAnsi="Verdana" w:cs="Times New Roman"/>
          <w:color w:val="252525"/>
          <w:vertAlign w:val="superscript"/>
        </w:rPr>
        <w:footnoteReference w:id="9"/>
      </w:r>
      <w:r w:rsidRPr="0093704C">
        <w:rPr>
          <w:rFonts w:ascii="Verdana" w:hAnsi="Verdana" w:cs="Times New Roman"/>
          <w:color w:val="252525"/>
        </w:rPr>
        <w:t>.</w:t>
      </w:r>
    </w:p>
    <w:p w14:paraId="6892ABD9" w14:textId="77777777" w:rsidR="0068476A" w:rsidRPr="0093704C" w:rsidRDefault="0068476A" w:rsidP="0068476A">
      <w:pPr>
        <w:pStyle w:val="Default"/>
        <w:rPr>
          <w:rFonts w:ascii="Verdana" w:hAnsi="Verdana" w:cs="Times New Roman"/>
          <w:color w:val="252525"/>
        </w:rPr>
      </w:pPr>
    </w:p>
    <w:p w14:paraId="5DD78B75" w14:textId="77777777" w:rsidR="0068476A" w:rsidRPr="0093704C" w:rsidRDefault="0068476A" w:rsidP="0068476A">
      <w:pPr>
        <w:pStyle w:val="Default"/>
        <w:rPr>
          <w:rFonts w:ascii="Verdana" w:hAnsi="Verdana" w:cs="Times New Roman"/>
          <w:color w:val="252525"/>
        </w:rPr>
      </w:pPr>
    </w:p>
    <w:p w14:paraId="310DE95D" w14:textId="77777777" w:rsidR="0068476A" w:rsidRPr="0093704C" w:rsidRDefault="0068476A">
      <w:pPr>
        <w:pStyle w:val="Default"/>
        <w:spacing w:after="140"/>
        <w:rPr>
          <w:rFonts w:ascii="Verdana" w:hAnsi="Verdana" w:cs="Times New Roman"/>
          <w:color w:val="252525"/>
        </w:rPr>
      </w:pPr>
      <w:bookmarkStart w:id="0" w:name="_GoBack"/>
      <w:r w:rsidRPr="0093704C">
        <w:rPr>
          <w:rFonts w:ascii="Verdana" w:eastAsia="Times New Roman Bold" w:hAnsi="Verdana" w:cs="Times New Roman"/>
          <w:noProof/>
          <w:color w:val="252525"/>
        </w:rPr>
        <w:lastRenderedPageBreak/>
        <w:drawing>
          <wp:inline distT="0" distB="0" distL="0" distR="0" wp14:anchorId="603C8690" wp14:editId="0D033E06">
            <wp:extent cx="3983355" cy="3866515"/>
            <wp:effectExtent l="0" t="0" r="4445" b="0"/>
            <wp:docPr id="1073741825" name="Picture 1073741825"/>
            <wp:cNvGraphicFramePr/>
            <a:graphic xmlns:a="http://schemas.openxmlformats.org/drawingml/2006/main">
              <a:graphicData uri="http://schemas.openxmlformats.org/drawingml/2006/picture">
                <pic:pic xmlns:pic="http://schemas.openxmlformats.org/drawingml/2006/picture">
                  <pic:nvPicPr>
                    <pic:cNvPr id="1073741825" name="pasted-image.tif"/>
                    <pic:cNvPicPr/>
                  </pic:nvPicPr>
                  <pic:blipFill>
                    <a:blip r:embed="rId16">
                      <a:extLst>
                        <a:ext uri="{28A0092B-C50C-407E-A947-70E740481C1C}">
                          <a14:useLocalDpi xmlns:a14="http://schemas.microsoft.com/office/drawing/2010/main" val="0"/>
                        </a:ext>
                      </a:extLst>
                    </a:blip>
                    <a:stretch>
                      <a:fillRect/>
                    </a:stretch>
                  </pic:blipFill>
                  <pic:spPr>
                    <a:xfrm>
                      <a:off x="0" y="0"/>
                      <a:ext cx="3983355" cy="3866515"/>
                    </a:xfrm>
                    <a:prstGeom prst="rect">
                      <a:avLst/>
                    </a:prstGeom>
                    <a:ln w="12700" cap="flat">
                      <a:noFill/>
                      <a:miter lim="400000"/>
                    </a:ln>
                    <a:effectLst/>
                    <a:extLst>
                      <a:ext uri="{FAA26D3D-D897-4be2-8F04-BA451C77F1D7}">
                        <ma14:placeholderFlag xmlns:ma14="http://schemas.microsoft.com/office/mac/drawingml/2011/main"/>
                      </a:ext>
                    </a:extLst>
                  </pic:spPr>
                </pic:pic>
              </a:graphicData>
            </a:graphic>
          </wp:inline>
        </w:drawing>
      </w:r>
      <w:bookmarkEnd w:id="0"/>
    </w:p>
    <w:p w14:paraId="7DBE50CD" w14:textId="77777777" w:rsidR="0045389F" w:rsidRPr="0093704C" w:rsidRDefault="00AB4F16">
      <w:pPr>
        <w:pStyle w:val="ListParagraph"/>
        <w:ind w:left="0"/>
        <w:rPr>
          <w:rFonts w:ascii="Verdana" w:hAnsi="Verdana" w:cs="Times New Roman"/>
          <w:i/>
          <w:iCs/>
          <w:sz w:val="22"/>
          <w:szCs w:val="22"/>
        </w:rPr>
      </w:pPr>
      <w:r w:rsidRPr="0093704C">
        <w:rPr>
          <w:rFonts w:ascii="Verdana" w:hAnsi="Verdana" w:cs="Times New Roman"/>
          <w:sz w:val="22"/>
          <w:szCs w:val="22"/>
        </w:rPr>
        <w:t xml:space="preserve">Taken from: </w:t>
      </w:r>
      <w:r w:rsidRPr="0093704C">
        <w:rPr>
          <w:rFonts w:ascii="Verdana" w:hAnsi="Verdana" w:cs="Times New Roman"/>
          <w:i/>
          <w:iCs/>
          <w:sz w:val="22"/>
          <w:szCs w:val="22"/>
        </w:rPr>
        <w:t>One Future Different Paths - The UK Shared Framework for Sustainable Development</w:t>
      </w:r>
    </w:p>
    <w:p w14:paraId="092EB546" w14:textId="77777777" w:rsidR="0068476A" w:rsidRPr="0093704C" w:rsidRDefault="0068476A">
      <w:pPr>
        <w:pStyle w:val="ListParagraph"/>
        <w:ind w:left="0"/>
        <w:rPr>
          <w:rFonts w:ascii="Verdana" w:hAnsi="Verdana" w:cs="Times New Roman"/>
          <w:sz w:val="22"/>
          <w:szCs w:val="22"/>
        </w:rPr>
      </w:pPr>
    </w:p>
    <w:p w14:paraId="5FECE803"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w:t>
      </w:r>
      <w:r w:rsidRPr="0093704C">
        <w:rPr>
          <w:rFonts w:ascii="Verdana" w:hAnsi="Verdana" w:cs="Times New Roman"/>
          <w:i/>
          <w:iCs/>
          <w:sz w:val="22"/>
          <w:szCs w:val="22"/>
        </w:rPr>
        <w:t>These principles will form a basis for sustainable development policy in the UK. For a policy to be sustainable, it must respect all five principles.  We want to achieve our goals of living within environmental limits and a just society, and we will do it by means of sustainable economy, good governance, and sound science.</w:t>
      </w:r>
      <w:r w:rsidRPr="0093704C">
        <w:rPr>
          <w:rFonts w:ascii="Verdana" w:hAnsi="Verdana" w:cs="Times New Roman"/>
          <w:sz w:val="22"/>
          <w:szCs w:val="22"/>
        </w:rPr>
        <w:t>’</w:t>
      </w:r>
      <w:r w:rsidRPr="0093704C">
        <w:rPr>
          <w:rFonts w:ascii="Verdana" w:eastAsia="Times New Roman" w:hAnsi="Verdana" w:cs="Times New Roman"/>
          <w:sz w:val="22"/>
          <w:szCs w:val="22"/>
          <w:vertAlign w:val="superscript"/>
        </w:rPr>
        <w:footnoteReference w:id="10"/>
      </w:r>
    </w:p>
    <w:p w14:paraId="1E8DB407" w14:textId="77777777" w:rsidR="0045389F" w:rsidRPr="0093704C" w:rsidRDefault="0045389F">
      <w:pPr>
        <w:pStyle w:val="ListParagraph"/>
        <w:ind w:left="0"/>
        <w:rPr>
          <w:rFonts w:ascii="Verdana" w:hAnsi="Verdana" w:cs="Times New Roman"/>
          <w:sz w:val="22"/>
          <w:szCs w:val="22"/>
        </w:rPr>
      </w:pPr>
    </w:p>
    <w:p w14:paraId="2C53C923" w14:textId="0A71CDF7" w:rsidR="0045389F" w:rsidRPr="0093704C" w:rsidRDefault="00656C51">
      <w:pPr>
        <w:pStyle w:val="ListParagraph"/>
        <w:ind w:left="0"/>
        <w:rPr>
          <w:rFonts w:ascii="Verdana" w:hAnsi="Verdana" w:cs="Times New Roman"/>
          <w:sz w:val="22"/>
          <w:szCs w:val="22"/>
        </w:rPr>
      </w:pPr>
      <w:r w:rsidRPr="0093704C">
        <w:rPr>
          <w:rFonts w:ascii="Verdana" w:hAnsi="Verdana" w:cs="Times New Roman"/>
          <w:sz w:val="22"/>
          <w:szCs w:val="22"/>
        </w:rPr>
        <w:t xml:space="preserve">As mentioned, the main </w:t>
      </w:r>
      <w:r w:rsidR="00FA1680" w:rsidRPr="0093704C">
        <w:rPr>
          <w:rFonts w:ascii="Verdana" w:hAnsi="Verdana" w:cs="Times New Roman"/>
          <w:sz w:val="22"/>
          <w:szCs w:val="22"/>
        </w:rPr>
        <w:t>P</w:t>
      </w:r>
      <w:r w:rsidR="007758C7" w:rsidRPr="0093704C">
        <w:rPr>
          <w:rFonts w:ascii="Verdana" w:hAnsi="Verdana" w:cs="Times New Roman"/>
          <w:sz w:val="22"/>
          <w:szCs w:val="22"/>
        </w:rPr>
        <w:t xml:space="preserve">urpose in the National Performance Framework lays down sustainable economic growth as the path to a flourishing Scotland. </w:t>
      </w:r>
      <w:r w:rsidR="00153819" w:rsidRPr="0093704C">
        <w:rPr>
          <w:rFonts w:ascii="Verdana" w:hAnsi="Verdana" w:cs="Times New Roman"/>
          <w:sz w:val="22"/>
          <w:szCs w:val="22"/>
        </w:rPr>
        <w:t xml:space="preserve"> </w:t>
      </w:r>
      <w:r w:rsidR="007758C7" w:rsidRPr="0093704C">
        <w:rPr>
          <w:rFonts w:ascii="Verdana" w:hAnsi="Verdana" w:cs="Times New Roman"/>
          <w:sz w:val="22"/>
          <w:szCs w:val="22"/>
        </w:rPr>
        <w:t>The Scottish Government defines sustainable economic growth</w:t>
      </w:r>
      <w:r w:rsidR="007758C7" w:rsidRPr="0093704C">
        <w:rPr>
          <w:rStyle w:val="FootnoteReference"/>
          <w:rFonts w:ascii="Verdana" w:hAnsi="Verdana" w:cs="Times New Roman"/>
          <w:sz w:val="22"/>
          <w:szCs w:val="22"/>
        </w:rPr>
        <w:footnoteReference w:id="11"/>
      </w:r>
      <w:r w:rsidR="007758C7" w:rsidRPr="0093704C">
        <w:rPr>
          <w:rFonts w:ascii="Verdana" w:hAnsi="Verdana" w:cs="Times New Roman"/>
          <w:sz w:val="22"/>
          <w:szCs w:val="22"/>
        </w:rPr>
        <w:t xml:space="preserve"> </w:t>
      </w:r>
      <w:r w:rsidR="00561EA3" w:rsidRPr="0093704C">
        <w:rPr>
          <w:rFonts w:ascii="Verdana" w:hAnsi="Verdana" w:cs="Times New Roman"/>
          <w:sz w:val="22"/>
          <w:szCs w:val="22"/>
        </w:rPr>
        <w:t>‘</w:t>
      </w:r>
      <w:r w:rsidR="007758C7" w:rsidRPr="0093704C">
        <w:rPr>
          <w:rFonts w:ascii="Verdana" w:hAnsi="Verdana" w:cs="Times New Roman"/>
          <w:i/>
          <w:sz w:val="22"/>
          <w:szCs w:val="22"/>
        </w:rPr>
        <w:t>as building a dynamic and growing economy that will provide prosperity and opportunities for all, while ensuring that future generations can enjoy a better quality of life too.</w:t>
      </w:r>
      <w:r w:rsidR="00561EA3" w:rsidRPr="0093704C">
        <w:rPr>
          <w:rFonts w:ascii="Verdana" w:hAnsi="Verdana" w:cs="Times New Roman"/>
          <w:sz w:val="22"/>
          <w:szCs w:val="22"/>
        </w:rPr>
        <w:t>’</w:t>
      </w:r>
      <w:r w:rsidR="007758C7" w:rsidRPr="0093704C">
        <w:rPr>
          <w:rFonts w:ascii="Verdana" w:hAnsi="Verdana" w:cs="Times New Roman"/>
          <w:sz w:val="22"/>
          <w:szCs w:val="22"/>
        </w:rPr>
        <w:t xml:space="preserve">  The Governments </w:t>
      </w:r>
      <w:r w:rsidR="007758C7" w:rsidRPr="0093704C">
        <w:rPr>
          <w:rFonts w:ascii="Verdana" w:hAnsi="Verdana" w:cs="Times New Roman"/>
          <w:i/>
          <w:sz w:val="22"/>
          <w:szCs w:val="22"/>
        </w:rPr>
        <w:t>Economic Strategy</w:t>
      </w:r>
      <w:r w:rsidRPr="0093704C">
        <w:rPr>
          <w:rStyle w:val="FootnoteReference"/>
          <w:rFonts w:ascii="Verdana" w:hAnsi="Verdana" w:cs="Times New Roman"/>
          <w:sz w:val="22"/>
          <w:szCs w:val="22"/>
        </w:rPr>
        <w:footnoteReference w:id="12"/>
      </w:r>
      <w:r w:rsidR="007758C7" w:rsidRPr="0093704C">
        <w:rPr>
          <w:rFonts w:ascii="Verdana" w:hAnsi="Verdana" w:cs="Times New Roman"/>
          <w:sz w:val="22"/>
          <w:szCs w:val="22"/>
        </w:rPr>
        <w:t xml:space="preserve"> details how the Government will deliver its commitment to sustainable economic g</w:t>
      </w:r>
      <w:r w:rsidR="00AB4F16" w:rsidRPr="0093704C">
        <w:rPr>
          <w:rFonts w:ascii="Verdana" w:hAnsi="Verdana" w:cs="Times New Roman"/>
          <w:sz w:val="22"/>
          <w:szCs w:val="22"/>
        </w:rPr>
        <w:t>rowth</w:t>
      </w:r>
      <w:r w:rsidR="00153819" w:rsidRPr="0093704C">
        <w:rPr>
          <w:rFonts w:ascii="Verdana" w:hAnsi="Verdana" w:cs="Times New Roman"/>
          <w:sz w:val="22"/>
          <w:szCs w:val="22"/>
        </w:rPr>
        <w:t xml:space="preserve"> </w:t>
      </w:r>
      <w:r w:rsidR="00561EA3" w:rsidRPr="0093704C">
        <w:rPr>
          <w:rFonts w:ascii="Verdana" w:hAnsi="Verdana" w:cs="Times New Roman"/>
          <w:sz w:val="22"/>
          <w:szCs w:val="22"/>
        </w:rPr>
        <w:t>and the</w:t>
      </w:r>
      <w:r w:rsidR="002B02FA" w:rsidRPr="0093704C">
        <w:rPr>
          <w:rFonts w:ascii="Verdana" w:hAnsi="Verdana" w:cs="Times New Roman"/>
          <w:sz w:val="22"/>
          <w:szCs w:val="22"/>
        </w:rPr>
        <w:t xml:space="preserve"> </w:t>
      </w:r>
      <w:r w:rsidR="002B02FA" w:rsidRPr="0093704C">
        <w:rPr>
          <w:rFonts w:ascii="Verdana" w:hAnsi="Verdana" w:cs="Times New Roman"/>
          <w:i/>
          <w:sz w:val="22"/>
          <w:szCs w:val="22"/>
        </w:rPr>
        <w:t>Purpose Framework</w:t>
      </w:r>
      <w:r w:rsidR="002B02FA" w:rsidRPr="0093704C">
        <w:rPr>
          <w:rFonts w:ascii="Verdana" w:hAnsi="Verdana" w:cs="Times New Roman"/>
          <w:sz w:val="22"/>
          <w:szCs w:val="22"/>
        </w:rPr>
        <w:t xml:space="preserve"> shows</w:t>
      </w:r>
      <w:r w:rsidR="003C3832" w:rsidRPr="0093704C">
        <w:rPr>
          <w:rFonts w:ascii="Verdana" w:hAnsi="Verdana" w:cs="Times New Roman"/>
          <w:sz w:val="22"/>
          <w:szCs w:val="22"/>
        </w:rPr>
        <w:t xml:space="preserve"> the key drivers of this </w:t>
      </w:r>
      <w:r w:rsidR="002B02FA" w:rsidRPr="0093704C">
        <w:rPr>
          <w:rFonts w:ascii="Verdana" w:hAnsi="Verdana" w:cs="Times New Roman"/>
          <w:sz w:val="22"/>
          <w:szCs w:val="22"/>
        </w:rPr>
        <w:t>growth (productivit</w:t>
      </w:r>
      <w:r w:rsidR="003C3832" w:rsidRPr="0093704C">
        <w:rPr>
          <w:rFonts w:ascii="Verdana" w:hAnsi="Verdana" w:cs="Times New Roman"/>
          <w:sz w:val="22"/>
          <w:szCs w:val="22"/>
        </w:rPr>
        <w:t>y, participation and population) and the key characteristics (solidarity, cohesion and sustainability</w:t>
      </w:r>
      <w:r w:rsidR="002B02FA" w:rsidRPr="0093704C">
        <w:rPr>
          <w:rFonts w:ascii="Verdana" w:hAnsi="Verdana" w:cs="Times New Roman"/>
          <w:sz w:val="22"/>
          <w:szCs w:val="22"/>
        </w:rPr>
        <w:t>)</w:t>
      </w:r>
      <w:r w:rsidR="000C5F4C" w:rsidRPr="0093704C">
        <w:rPr>
          <w:rFonts w:ascii="Verdana" w:hAnsi="Verdana" w:cs="Times New Roman"/>
          <w:sz w:val="22"/>
          <w:szCs w:val="22"/>
        </w:rPr>
        <w:t xml:space="preserve"> </w:t>
      </w:r>
      <w:r w:rsidR="002B02FA" w:rsidRPr="0093704C">
        <w:rPr>
          <w:rFonts w:ascii="Verdana" w:hAnsi="Verdana" w:cs="Times New Roman"/>
          <w:sz w:val="22"/>
          <w:szCs w:val="22"/>
        </w:rPr>
        <w:t xml:space="preserve">linked to deliver balanced sustainable growth alongside important social, regional and inter-generational equity objectives.  The Government sees the </w:t>
      </w:r>
      <w:r w:rsidR="002B02FA" w:rsidRPr="0093704C">
        <w:rPr>
          <w:rFonts w:ascii="Verdana" w:hAnsi="Verdana" w:cs="Times New Roman"/>
          <w:i/>
          <w:sz w:val="22"/>
          <w:szCs w:val="22"/>
        </w:rPr>
        <w:t>Economic Strategy</w:t>
      </w:r>
      <w:r w:rsidR="002B02FA" w:rsidRPr="0093704C">
        <w:rPr>
          <w:rFonts w:ascii="Verdana" w:hAnsi="Verdana" w:cs="Times New Roman"/>
          <w:sz w:val="22"/>
          <w:szCs w:val="22"/>
        </w:rPr>
        <w:t xml:space="preserve"> as sitting within the framework of sustainable development.</w:t>
      </w:r>
    </w:p>
    <w:p w14:paraId="0545C4BF" w14:textId="77777777" w:rsidR="00561EA3" w:rsidRPr="0093704C" w:rsidRDefault="00561EA3">
      <w:pPr>
        <w:pStyle w:val="ListParagraph"/>
        <w:ind w:left="0"/>
        <w:rPr>
          <w:rFonts w:ascii="Verdana" w:hAnsi="Verdana" w:cs="Times New Roman"/>
          <w:sz w:val="22"/>
          <w:szCs w:val="22"/>
        </w:rPr>
      </w:pPr>
    </w:p>
    <w:p w14:paraId="5FDAC734" w14:textId="58DE735E" w:rsidR="00561EA3" w:rsidRPr="0093704C" w:rsidRDefault="00561EA3">
      <w:pPr>
        <w:pStyle w:val="ListParagraph"/>
        <w:ind w:left="0"/>
        <w:rPr>
          <w:rFonts w:ascii="Verdana" w:hAnsi="Verdana" w:cs="Times New Roman"/>
          <w:sz w:val="22"/>
          <w:szCs w:val="22"/>
        </w:rPr>
      </w:pPr>
      <w:r w:rsidRPr="0093704C">
        <w:rPr>
          <w:rFonts w:ascii="Verdana" w:hAnsi="Verdana" w:cs="Times New Roman"/>
          <w:sz w:val="22"/>
          <w:szCs w:val="22"/>
        </w:rPr>
        <w:t xml:space="preserve">LINK has consistently argued against the use of the term ‘sustainable economic growth’, saying that it is confusing and ambiguous. </w:t>
      </w:r>
    </w:p>
    <w:p w14:paraId="3EF17396" w14:textId="77777777" w:rsidR="0045389F" w:rsidRPr="0093704C" w:rsidRDefault="0045389F">
      <w:pPr>
        <w:pStyle w:val="ListParagraph"/>
        <w:ind w:left="0"/>
        <w:rPr>
          <w:rFonts w:ascii="Verdana" w:hAnsi="Verdana" w:cs="Times New Roman"/>
          <w:sz w:val="22"/>
          <w:szCs w:val="22"/>
        </w:rPr>
      </w:pPr>
    </w:p>
    <w:p w14:paraId="4FEC2A04" w14:textId="77777777" w:rsidR="0045389F" w:rsidRPr="0093704C" w:rsidRDefault="00AB4F16">
      <w:pPr>
        <w:pStyle w:val="ListParagraph"/>
        <w:ind w:left="0"/>
        <w:rPr>
          <w:rFonts w:ascii="Verdana" w:hAnsi="Verdana" w:cs="Times New Roman"/>
          <w:b/>
          <w:bCs/>
          <w:sz w:val="22"/>
          <w:szCs w:val="22"/>
        </w:rPr>
      </w:pPr>
      <w:r w:rsidRPr="0093704C">
        <w:rPr>
          <w:rFonts w:ascii="Verdana" w:hAnsi="Verdana" w:cs="Times New Roman"/>
          <w:b/>
          <w:bCs/>
          <w:sz w:val="22"/>
          <w:szCs w:val="22"/>
        </w:rPr>
        <w:t>3.2</w:t>
      </w:r>
      <w:r w:rsidRPr="0093704C">
        <w:rPr>
          <w:rFonts w:ascii="Verdana" w:hAnsi="Verdana" w:cs="Times New Roman"/>
          <w:b/>
          <w:bCs/>
          <w:sz w:val="22"/>
          <w:szCs w:val="22"/>
        </w:rPr>
        <w:tab/>
        <w:t>GDP and Beyond GDP</w:t>
      </w:r>
    </w:p>
    <w:p w14:paraId="3214C434" w14:textId="77777777" w:rsidR="0045389F" w:rsidRPr="0093704C" w:rsidRDefault="0045389F">
      <w:pPr>
        <w:pStyle w:val="BodyA"/>
        <w:rPr>
          <w:rFonts w:ascii="Verdana" w:eastAsia="Cambria" w:hAnsi="Verdana" w:cs="Times New Roman"/>
        </w:rPr>
      </w:pPr>
    </w:p>
    <w:p w14:paraId="61B7D62E" w14:textId="37CF6C4D" w:rsidR="0045389F" w:rsidRPr="0093704C" w:rsidRDefault="00561EA3">
      <w:pPr>
        <w:pStyle w:val="BodyA"/>
        <w:rPr>
          <w:rFonts w:ascii="Verdana" w:eastAsia="Cambria" w:hAnsi="Verdana" w:cs="Times New Roman"/>
        </w:rPr>
      </w:pPr>
      <w:r w:rsidRPr="0093704C">
        <w:rPr>
          <w:rFonts w:ascii="Verdana" w:eastAsia="Cambria" w:hAnsi="Verdana" w:cs="Times New Roman"/>
        </w:rPr>
        <w:t xml:space="preserve">GDP </w:t>
      </w:r>
      <w:r w:rsidR="00AB4F16" w:rsidRPr="0093704C">
        <w:rPr>
          <w:rFonts w:ascii="Verdana" w:eastAsia="Cambria" w:hAnsi="Verdana" w:cs="Times New Roman"/>
        </w:rPr>
        <w:t>is the aggregated added value of all the production in an economy, as reflected in market prices, and as estimated/imputed for public services.  The System of National Accounts (SNA)</w:t>
      </w:r>
      <w:r w:rsidR="00AB4F16" w:rsidRPr="0093704C">
        <w:rPr>
          <w:rFonts w:ascii="Verdana" w:eastAsia="Cambria" w:hAnsi="Verdana" w:cs="Times New Roman"/>
          <w:vertAlign w:val="superscript"/>
        </w:rPr>
        <w:footnoteReference w:id="13"/>
      </w:r>
      <w:r w:rsidR="00AB4F16" w:rsidRPr="0093704C">
        <w:rPr>
          <w:rFonts w:ascii="Verdana" w:eastAsia="Cambria" w:hAnsi="Verdana" w:cs="Times New Roman"/>
        </w:rPr>
        <w:t xml:space="preserve"> provides an internationally agreed standard of how to compile measures of economic activity.</w:t>
      </w:r>
    </w:p>
    <w:p w14:paraId="64A09400" w14:textId="77777777" w:rsidR="0045389F" w:rsidRPr="0093704C" w:rsidRDefault="0045389F">
      <w:pPr>
        <w:pStyle w:val="BodyA"/>
        <w:rPr>
          <w:rFonts w:ascii="Verdana" w:eastAsia="Cambria" w:hAnsi="Verdana" w:cs="Times New Roman"/>
        </w:rPr>
      </w:pPr>
    </w:p>
    <w:p w14:paraId="7F5AB669" w14:textId="77777777" w:rsidR="0045389F" w:rsidRPr="0093704C" w:rsidRDefault="00AB4F16">
      <w:pPr>
        <w:pStyle w:val="BodyA"/>
        <w:rPr>
          <w:rFonts w:ascii="Verdana" w:eastAsia="Cambria" w:hAnsi="Verdana" w:cs="Times New Roman"/>
        </w:rPr>
      </w:pPr>
      <w:r w:rsidRPr="0093704C">
        <w:rPr>
          <w:rFonts w:ascii="Verdana" w:eastAsia="Cambria" w:hAnsi="Verdana" w:cs="Times New Roman"/>
        </w:rPr>
        <w:t>There are three ways of calculating GDP, the income, output and expenditure methods.  All should sum to an identical amount.  In Scotland, data from 300 separate indices are collated, and then aggregated to form a weighted quarterly index of ‘gross value added’ (GVA).  At a regional level, GVA is the output measure used and differs from GDP as it measures output at basic prices rather than market prices, i.e. GVA does not take subsidies and taxes into account</w:t>
      </w:r>
      <w:r w:rsidRPr="0093704C">
        <w:rPr>
          <w:rFonts w:ascii="Verdana" w:eastAsia="Cambria" w:hAnsi="Verdana" w:cs="Times New Roman"/>
          <w:vertAlign w:val="superscript"/>
        </w:rPr>
        <w:footnoteReference w:id="14"/>
      </w:r>
      <w:r w:rsidRPr="0093704C">
        <w:rPr>
          <w:rFonts w:ascii="Verdana" w:eastAsia="Cambria" w:hAnsi="Verdana" w:cs="Times New Roman"/>
        </w:rPr>
        <w:t>.</w:t>
      </w:r>
    </w:p>
    <w:p w14:paraId="5614E85B" w14:textId="77777777" w:rsidR="0045389F" w:rsidRPr="0093704C" w:rsidRDefault="0045389F">
      <w:pPr>
        <w:pStyle w:val="BodyA"/>
        <w:rPr>
          <w:rFonts w:ascii="Verdana" w:eastAsia="Cambria" w:hAnsi="Verdana" w:cs="Times New Roman"/>
        </w:rPr>
      </w:pPr>
    </w:p>
    <w:p w14:paraId="7B7F2542" w14:textId="4AF7464F" w:rsidR="00515760" w:rsidRPr="0093704C" w:rsidRDefault="00AB4F16" w:rsidP="00BD1689">
      <w:pPr>
        <w:rPr>
          <w:rFonts w:ascii="Verdana" w:eastAsia="Times New Roman" w:hAnsi="Verdana"/>
          <w:sz w:val="22"/>
          <w:szCs w:val="22"/>
        </w:rPr>
      </w:pPr>
      <w:r w:rsidRPr="0093704C">
        <w:rPr>
          <w:rFonts w:ascii="Verdana" w:eastAsia="Cambria" w:hAnsi="Verdana"/>
          <w:sz w:val="22"/>
          <w:szCs w:val="22"/>
        </w:rPr>
        <w:t>Gross National Product (GNP) measures what is produced by enterprises owned by a country’s citizens, where as GDP measures what is produced within a country’s borders.</w:t>
      </w:r>
      <w:r w:rsidR="00515760" w:rsidRPr="0093704C">
        <w:rPr>
          <w:rFonts w:ascii="Verdana" w:eastAsia="Cambria" w:hAnsi="Verdana"/>
          <w:sz w:val="22"/>
          <w:szCs w:val="22"/>
        </w:rPr>
        <w:t xml:space="preserve">  Net Domestic Product (</w:t>
      </w:r>
      <w:r w:rsidR="00515760" w:rsidRPr="0093704C">
        <w:rPr>
          <w:rFonts w:ascii="Verdana" w:eastAsia="Times New Roman" w:hAnsi="Verdana"/>
          <w:sz w:val="22"/>
          <w:szCs w:val="22"/>
        </w:rPr>
        <w:t xml:space="preserve">NDP) is GDP minus the depreciation of capital </w:t>
      </w:r>
      <w:hyperlink r:id="rId17" w:tooltip="CONSUMER VS INDUSTRIAL" w:history="1">
        <w:r w:rsidR="00515760" w:rsidRPr="0093704C">
          <w:rPr>
            <w:rStyle w:val="Hyperlink"/>
            <w:rFonts w:ascii="Verdana" w:eastAsia="Times New Roman" w:hAnsi="Verdana"/>
            <w:sz w:val="22"/>
            <w:szCs w:val="22"/>
          </w:rPr>
          <w:t>goods</w:t>
        </w:r>
      </w:hyperlink>
      <w:r w:rsidR="00515760" w:rsidRPr="0093704C">
        <w:rPr>
          <w:rFonts w:ascii="Verdana" w:eastAsia="Times New Roman" w:hAnsi="Verdana"/>
          <w:sz w:val="22"/>
          <w:szCs w:val="22"/>
        </w:rPr>
        <w:t xml:space="preserve">. </w:t>
      </w:r>
    </w:p>
    <w:p w14:paraId="0443CB0D" w14:textId="77777777" w:rsidR="0045389F" w:rsidRPr="0093704C" w:rsidRDefault="0045389F">
      <w:pPr>
        <w:pStyle w:val="BodyA"/>
        <w:rPr>
          <w:rFonts w:ascii="Verdana" w:eastAsia="Cambria" w:hAnsi="Verdana" w:cs="Times New Roman"/>
        </w:rPr>
      </w:pPr>
    </w:p>
    <w:p w14:paraId="37D17130" w14:textId="3C0B7581" w:rsidR="0045389F" w:rsidRPr="0093704C" w:rsidRDefault="00860973">
      <w:pPr>
        <w:pStyle w:val="BodyA"/>
        <w:rPr>
          <w:rFonts w:ascii="Verdana" w:eastAsia="Cambria" w:hAnsi="Verdana" w:cs="Times New Roman"/>
        </w:rPr>
      </w:pPr>
      <w:r w:rsidRPr="0093704C">
        <w:rPr>
          <w:rFonts w:ascii="Verdana" w:eastAsia="Cambria" w:hAnsi="Verdana" w:cs="Times New Roman"/>
        </w:rPr>
        <w:t>Although it is used by governments across the world as an indicator of progress, there are a number of s</w:t>
      </w:r>
      <w:r w:rsidR="00AB4F16" w:rsidRPr="0093704C">
        <w:rPr>
          <w:rFonts w:ascii="Verdana" w:eastAsia="Cambria" w:hAnsi="Verdana" w:cs="Times New Roman"/>
        </w:rPr>
        <w:t xml:space="preserve">pecific </w:t>
      </w:r>
      <w:r w:rsidRPr="0093704C">
        <w:rPr>
          <w:rFonts w:ascii="Verdana" w:eastAsia="Cambria" w:hAnsi="Verdana" w:cs="Times New Roman"/>
        </w:rPr>
        <w:t>p</w:t>
      </w:r>
      <w:r w:rsidR="00AB4F16" w:rsidRPr="0093704C">
        <w:rPr>
          <w:rFonts w:ascii="Verdana" w:eastAsia="Cambria" w:hAnsi="Verdana" w:cs="Times New Roman"/>
        </w:rPr>
        <w:t>roblems with GDP as an indicator of wellbeing:</w:t>
      </w:r>
    </w:p>
    <w:p w14:paraId="78F01281" w14:textId="230392F1" w:rsidR="0045389F" w:rsidRPr="0093704C" w:rsidRDefault="00860973" w:rsidP="0077067E">
      <w:pPr>
        <w:pStyle w:val="BodyA"/>
        <w:numPr>
          <w:ilvl w:val="0"/>
          <w:numId w:val="6"/>
        </w:numPr>
        <w:tabs>
          <w:tab w:val="left" w:pos="180"/>
        </w:tabs>
        <w:ind w:left="165" w:hanging="165"/>
        <w:rPr>
          <w:rFonts w:ascii="Verdana" w:eastAsia="Times New Roman" w:hAnsi="Verdana" w:cs="Times New Roman"/>
        </w:rPr>
      </w:pPr>
      <w:r w:rsidRPr="0093704C">
        <w:rPr>
          <w:rFonts w:ascii="Verdana" w:eastAsia="Cambria" w:hAnsi="Verdana" w:cs="Times New Roman"/>
        </w:rPr>
        <w:t>It d</w:t>
      </w:r>
      <w:r w:rsidR="00AB4F16" w:rsidRPr="0093704C">
        <w:rPr>
          <w:rFonts w:ascii="Verdana" w:eastAsia="Cambria" w:hAnsi="Verdana" w:cs="Times New Roman"/>
        </w:rPr>
        <w:t>oes not capture value of unpaid services, such as voluntary work or care for family members, and it is difficult to capture the true value of public services</w:t>
      </w:r>
      <w:r w:rsidRPr="0093704C">
        <w:rPr>
          <w:rFonts w:ascii="Verdana" w:eastAsia="Cambria" w:hAnsi="Verdana" w:cs="Times New Roman"/>
        </w:rPr>
        <w:t>;</w:t>
      </w:r>
    </w:p>
    <w:p w14:paraId="2D02D76D" w14:textId="09748663" w:rsidR="0045389F" w:rsidRPr="0093704C" w:rsidRDefault="00AB4F16" w:rsidP="0077067E">
      <w:pPr>
        <w:pStyle w:val="BodyA"/>
        <w:numPr>
          <w:ilvl w:val="0"/>
          <w:numId w:val="7"/>
        </w:numPr>
        <w:tabs>
          <w:tab w:val="left" w:pos="180"/>
        </w:tabs>
        <w:ind w:left="165" w:hanging="165"/>
        <w:rPr>
          <w:rFonts w:ascii="Verdana" w:eastAsia="Times New Roman" w:hAnsi="Verdana" w:cs="Times New Roman"/>
        </w:rPr>
      </w:pPr>
      <w:r w:rsidRPr="0093704C">
        <w:rPr>
          <w:rFonts w:ascii="Verdana" w:eastAsia="Cambria" w:hAnsi="Verdana" w:cs="Times New Roman"/>
        </w:rPr>
        <w:t>It includes defensive expenditures such as expenditures result</w:t>
      </w:r>
      <w:r w:rsidR="00860973" w:rsidRPr="0093704C">
        <w:rPr>
          <w:rFonts w:ascii="Verdana" w:eastAsia="Cambria" w:hAnsi="Verdana" w:cs="Times New Roman"/>
        </w:rPr>
        <w:t>ing</w:t>
      </w:r>
      <w:r w:rsidRPr="0093704C">
        <w:rPr>
          <w:rFonts w:ascii="Verdana" w:eastAsia="Cambria" w:hAnsi="Verdana" w:cs="Times New Roman"/>
        </w:rPr>
        <w:t xml:space="preserve"> </w:t>
      </w:r>
      <w:r w:rsidR="00860973" w:rsidRPr="0093704C">
        <w:rPr>
          <w:rFonts w:ascii="Verdana" w:eastAsia="Cambria" w:hAnsi="Verdana" w:cs="Times New Roman"/>
        </w:rPr>
        <w:t>from</w:t>
      </w:r>
      <w:r w:rsidRPr="0093704C">
        <w:rPr>
          <w:rFonts w:ascii="Verdana" w:eastAsia="Cambria" w:hAnsi="Verdana" w:cs="Times New Roman"/>
        </w:rPr>
        <w:t xml:space="preserve"> natural disasters or accidents</w:t>
      </w:r>
      <w:r w:rsidR="00860973" w:rsidRPr="0093704C">
        <w:rPr>
          <w:rFonts w:ascii="Verdana" w:eastAsia="Cambria" w:hAnsi="Verdana" w:cs="Times New Roman"/>
        </w:rPr>
        <w:t>;</w:t>
      </w:r>
    </w:p>
    <w:p w14:paraId="610F2E1D" w14:textId="4CEEDE5D" w:rsidR="0045389F" w:rsidRPr="0093704C" w:rsidRDefault="00AB4F16" w:rsidP="0077067E">
      <w:pPr>
        <w:pStyle w:val="BodyA"/>
        <w:numPr>
          <w:ilvl w:val="0"/>
          <w:numId w:val="8"/>
        </w:numPr>
        <w:tabs>
          <w:tab w:val="left" w:pos="180"/>
        </w:tabs>
        <w:ind w:left="165" w:hanging="165"/>
        <w:rPr>
          <w:rFonts w:ascii="Verdana" w:eastAsia="Times New Roman" w:hAnsi="Verdana" w:cs="Times New Roman"/>
        </w:rPr>
      </w:pPr>
      <w:r w:rsidRPr="0093704C">
        <w:rPr>
          <w:rFonts w:ascii="Verdana" w:eastAsia="Cambria" w:hAnsi="Verdana" w:cs="Times New Roman"/>
        </w:rPr>
        <w:t>It does not measure the impact of externalities, such as air quality or congestion as a result of increased traffic</w:t>
      </w:r>
      <w:r w:rsidR="00860973" w:rsidRPr="0093704C">
        <w:rPr>
          <w:rFonts w:ascii="Verdana" w:eastAsia="Cambria" w:hAnsi="Verdana" w:cs="Times New Roman"/>
        </w:rPr>
        <w:t>;</w:t>
      </w:r>
    </w:p>
    <w:p w14:paraId="1E68ED3F" w14:textId="02D579E5" w:rsidR="0045389F" w:rsidRPr="0093704C" w:rsidRDefault="00AB4F16" w:rsidP="0077067E">
      <w:pPr>
        <w:pStyle w:val="BodyA"/>
        <w:numPr>
          <w:ilvl w:val="0"/>
          <w:numId w:val="9"/>
        </w:numPr>
        <w:tabs>
          <w:tab w:val="left" w:pos="180"/>
        </w:tabs>
        <w:ind w:left="165" w:hanging="165"/>
        <w:rPr>
          <w:rFonts w:ascii="Verdana" w:eastAsia="Times New Roman" w:hAnsi="Verdana" w:cs="Times New Roman"/>
        </w:rPr>
      </w:pPr>
      <w:r w:rsidRPr="0093704C">
        <w:rPr>
          <w:rFonts w:ascii="Verdana" w:eastAsia="Cambria" w:hAnsi="Verdana" w:cs="Times New Roman"/>
        </w:rPr>
        <w:t>It measures the flows of activity, but not the value of assets (stocks/debts/wealth)</w:t>
      </w:r>
      <w:r w:rsidR="00860973" w:rsidRPr="0093704C">
        <w:rPr>
          <w:rFonts w:ascii="Verdana" w:eastAsia="Cambria" w:hAnsi="Verdana" w:cs="Times New Roman"/>
        </w:rPr>
        <w:t>;</w:t>
      </w:r>
    </w:p>
    <w:p w14:paraId="3A625424" w14:textId="77777777" w:rsidR="0045389F" w:rsidRPr="0093704C" w:rsidRDefault="00AB4F16" w:rsidP="0077067E">
      <w:pPr>
        <w:pStyle w:val="BodyA"/>
        <w:numPr>
          <w:ilvl w:val="0"/>
          <w:numId w:val="10"/>
        </w:numPr>
        <w:tabs>
          <w:tab w:val="left" w:pos="180"/>
        </w:tabs>
        <w:ind w:left="165" w:hanging="165"/>
        <w:rPr>
          <w:rFonts w:ascii="Verdana" w:eastAsia="Times New Roman" w:hAnsi="Verdana" w:cs="Times New Roman"/>
        </w:rPr>
      </w:pPr>
      <w:r w:rsidRPr="0093704C">
        <w:rPr>
          <w:rFonts w:ascii="Verdana" w:eastAsia="Cambria" w:hAnsi="Verdana" w:cs="Times New Roman"/>
        </w:rPr>
        <w:t>It does not take account of inequalities.  For example, consumption by someone in poverty is likely to lead to a much greater increase in wellbeing than the same consumption by someone not in poverty.</w:t>
      </w:r>
    </w:p>
    <w:p w14:paraId="6942C324" w14:textId="77777777" w:rsidR="0045389F" w:rsidRPr="0093704C" w:rsidRDefault="0045389F">
      <w:pPr>
        <w:pStyle w:val="ListParagraph"/>
        <w:ind w:left="0"/>
        <w:rPr>
          <w:rFonts w:ascii="Verdana" w:hAnsi="Verdana" w:cs="Times New Roman"/>
          <w:position w:val="-4"/>
          <w:sz w:val="22"/>
          <w:szCs w:val="22"/>
        </w:rPr>
      </w:pPr>
    </w:p>
    <w:p w14:paraId="144F540F" w14:textId="442F8D3C"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The shortcomings of GDP have been a</w:t>
      </w:r>
      <w:r w:rsidR="00AA1D17" w:rsidRPr="0093704C">
        <w:rPr>
          <w:rFonts w:ascii="Verdana" w:hAnsi="Verdana" w:cs="Times New Roman"/>
          <w:sz w:val="22"/>
          <w:szCs w:val="22"/>
        </w:rPr>
        <w:t>cknowledged for some time</w:t>
      </w:r>
      <w:r w:rsidRPr="0093704C">
        <w:rPr>
          <w:rFonts w:ascii="Verdana" w:hAnsi="Verdana" w:cs="Times New Roman"/>
          <w:sz w:val="22"/>
          <w:szCs w:val="22"/>
        </w:rPr>
        <w:t xml:space="preserve"> but it is only in recent years that this debate has gained momentum and received significant attention from international institutions and governments. </w:t>
      </w:r>
      <w:r w:rsidR="00860973" w:rsidRPr="0093704C">
        <w:rPr>
          <w:rFonts w:ascii="Verdana" w:hAnsi="Verdana" w:cs="Times New Roman"/>
          <w:sz w:val="22"/>
          <w:szCs w:val="22"/>
        </w:rPr>
        <w:t xml:space="preserve"> </w:t>
      </w:r>
      <w:r w:rsidRPr="0093704C">
        <w:rPr>
          <w:rFonts w:ascii="Verdana" w:hAnsi="Verdana" w:cs="Times New Roman"/>
          <w:sz w:val="22"/>
          <w:szCs w:val="22"/>
        </w:rPr>
        <w:t xml:space="preserve">In 2007, the OECD hosted a conference on </w:t>
      </w:r>
      <w:r w:rsidRPr="0093704C">
        <w:rPr>
          <w:rFonts w:ascii="Verdana" w:hAnsi="Verdana" w:cs="Times New Roman"/>
          <w:i/>
          <w:iCs/>
          <w:sz w:val="22"/>
          <w:szCs w:val="22"/>
        </w:rPr>
        <w:t>Measuring and Fostering the Progress of Societies</w:t>
      </w:r>
      <w:r w:rsidRPr="0093704C">
        <w:rPr>
          <w:rFonts w:ascii="Verdana" w:hAnsi="Verdana" w:cs="Times New Roman"/>
          <w:sz w:val="22"/>
          <w:szCs w:val="22"/>
        </w:rPr>
        <w:t>, culminating in a declaration by the OED, EC, UN and UNDP and the World Bank</w:t>
      </w:r>
      <w:r w:rsidRPr="0093704C">
        <w:rPr>
          <w:rFonts w:ascii="Verdana" w:eastAsia="Times New Roman" w:hAnsi="Verdana" w:cs="Times New Roman"/>
          <w:sz w:val="22"/>
          <w:szCs w:val="22"/>
          <w:vertAlign w:val="superscript"/>
        </w:rPr>
        <w:footnoteReference w:id="15"/>
      </w:r>
      <w:r w:rsidRPr="0093704C">
        <w:rPr>
          <w:rFonts w:ascii="Verdana" w:hAnsi="Verdana" w:cs="Times New Roman"/>
          <w:sz w:val="22"/>
          <w:szCs w:val="22"/>
        </w:rPr>
        <w:t xml:space="preserve">.  Also in 2007, the EC, the European </w:t>
      </w:r>
      <w:r w:rsidRPr="0093704C">
        <w:rPr>
          <w:rFonts w:ascii="Verdana" w:hAnsi="Verdana" w:cs="Times New Roman"/>
          <w:sz w:val="22"/>
          <w:szCs w:val="22"/>
        </w:rPr>
        <w:lastRenderedPageBreak/>
        <w:t xml:space="preserve">Parliament, Club of Rome, OECD and WWF hosted </w:t>
      </w:r>
      <w:r w:rsidRPr="0093704C">
        <w:rPr>
          <w:rFonts w:ascii="Verdana" w:hAnsi="Verdana" w:cs="Times New Roman"/>
          <w:i/>
          <w:iCs/>
          <w:sz w:val="22"/>
          <w:szCs w:val="22"/>
        </w:rPr>
        <w:t>Beyond GDP</w:t>
      </w:r>
      <w:r w:rsidRPr="0093704C">
        <w:rPr>
          <w:rFonts w:ascii="Verdana" w:hAnsi="Verdana" w:cs="Times New Roman"/>
          <w:sz w:val="22"/>
          <w:szCs w:val="22"/>
        </w:rPr>
        <w:t xml:space="preserve"> – another international conference aiming to clarify which indices are most appropriate to measure progress</w:t>
      </w:r>
      <w:r w:rsidRPr="0093704C">
        <w:rPr>
          <w:rFonts w:ascii="Verdana" w:eastAsia="Times New Roman" w:hAnsi="Verdana" w:cs="Times New Roman"/>
          <w:sz w:val="22"/>
          <w:szCs w:val="22"/>
          <w:vertAlign w:val="superscript"/>
        </w:rPr>
        <w:footnoteReference w:id="16"/>
      </w:r>
      <w:r w:rsidRPr="0093704C">
        <w:rPr>
          <w:rFonts w:ascii="Verdana" w:hAnsi="Verdana" w:cs="Times New Roman"/>
          <w:sz w:val="22"/>
          <w:szCs w:val="22"/>
        </w:rPr>
        <w:t>. In 2009 the EC released its roadmap ‘GDP and Beyond: Measuring Progress in a Changing World .</w:t>
      </w:r>
      <w:r w:rsidRPr="0093704C">
        <w:rPr>
          <w:rFonts w:ascii="Verdana" w:eastAsia="Times New Roman" w:hAnsi="Verdana" w:cs="Times New Roman"/>
          <w:sz w:val="22"/>
          <w:szCs w:val="22"/>
          <w:vertAlign w:val="superscript"/>
        </w:rPr>
        <w:footnoteReference w:id="17"/>
      </w:r>
      <w:r w:rsidRPr="0093704C">
        <w:rPr>
          <w:rFonts w:ascii="Verdana" w:hAnsi="Verdana" w:cs="Times New Roman"/>
          <w:sz w:val="22"/>
          <w:szCs w:val="22"/>
        </w:rPr>
        <w:t xml:space="preserve">  In 2008, President Sarkozy set up a high level Commission on the </w:t>
      </w:r>
      <w:r w:rsidRPr="0093704C">
        <w:rPr>
          <w:rFonts w:ascii="Verdana" w:hAnsi="Verdana" w:cs="Times New Roman"/>
          <w:i/>
          <w:iCs/>
          <w:sz w:val="22"/>
          <w:szCs w:val="22"/>
        </w:rPr>
        <w:t>Measurement of Economic Performance and Social Progress</w:t>
      </w:r>
      <w:r w:rsidRPr="0093704C">
        <w:rPr>
          <w:rFonts w:ascii="Verdana" w:hAnsi="Verdana" w:cs="Times New Roman"/>
          <w:i/>
          <w:iCs/>
          <w:sz w:val="22"/>
          <w:szCs w:val="22"/>
          <w:vertAlign w:val="superscript"/>
        </w:rPr>
        <w:footnoteReference w:id="18"/>
      </w:r>
      <w:r w:rsidRPr="0093704C">
        <w:rPr>
          <w:rFonts w:ascii="Verdana" w:hAnsi="Verdana" w:cs="Times New Roman"/>
          <w:i/>
          <w:iCs/>
          <w:sz w:val="22"/>
          <w:szCs w:val="22"/>
        </w:rPr>
        <w:t xml:space="preserve">, </w:t>
      </w:r>
      <w:r w:rsidRPr="0093704C">
        <w:rPr>
          <w:rFonts w:ascii="Verdana" w:hAnsi="Verdana" w:cs="Times New Roman"/>
          <w:sz w:val="22"/>
          <w:szCs w:val="22"/>
        </w:rPr>
        <w:t xml:space="preserve">often referred to as the Stiglitz Commission.  The </w:t>
      </w:r>
      <w:r w:rsidR="00860973" w:rsidRPr="0093704C">
        <w:rPr>
          <w:rFonts w:ascii="Verdana" w:hAnsi="Verdana" w:cs="Times New Roman"/>
          <w:sz w:val="22"/>
          <w:szCs w:val="22"/>
        </w:rPr>
        <w:t xml:space="preserve">resulting </w:t>
      </w:r>
      <w:r w:rsidRPr="0093704C">
        <w:rPr>
          <w:rFonts w:ascii="Verdana" w:hAnsi="Verdana" w:cs="Times New Roman"/>
          <w:sz w:val="22"/>
          <w:szCs w:val="22"/>
        </w:rPr>
        <w:t>report made detailed recommendations on improvements to measurements.  In 2010, the Director Generals of Europe’s National Statistical Offices, including the UK, signed the Sofia Memorandum, recognising the importance of measuring progress, wellbeing and sustainable development and mandates further work by Eurostat</w:t>
      </w:r>
      <w:r w:rsidRPr="0093704C">
        <w:rPr>
          <w:rFonts w:ascii="Verdana" w:eastAsia="Times New Roman" w:hAnsi="Verdana" w:cs="Times New Roman"/>
          <w:sz w:val="22"/>
          <w:szCs w:val="22"/>
          <w:vertAlign w:val="superscript"/>
        </w:rPr>
        <w:footnoteReference w:id="19"/>
      </w:r>
      <w:r w:rsidRPr="0093704C">
        <w:rPr>
          <w:rFonts w:ascii="Verdana" w:hAnsi="Verdana" w:cs="Times New Roman"/>
          <w:sz w:val="22"/>
          <w:szCs w:val="22"/>
        </w:rPr>
        <w:t>.  In 2011, the UN General Assembly unanimously adopted Resolution 65/309, which invites Member States to pursue the elaboration of additional measures that better capture the importance of the pursuit of happiness and wellbeing in development with a view to guiding their public policies.</w:t>
      </w:r>
    </w:p>
    <w:p w14:paraId="03A4D265" w14:textId="77777777" w:rsidR="005F68DE" w:rsidRPr="0093704C" w:rsidRDefault="005F68DE">
      <w:pPr>
        <w:pStyle w:val="ListParagraph"/>
        <w:ind w:left="0"/>
        <w:rPr>
          <w:rFonts w:ascii="Verdana" w:hAnsi="Verdana" w:cs="Times New Roman"/>
          <w:sz w:val="22"/>
          <w:szCs w:val="22"/>
        </w:rPr>
      </w:pPr>
    </w:p>
    <w:p w14:paraId="59F4AB0F" w14:textId="4512C3D7" w:rsidR="005F68DE" w:rsidRPr="0093704C" w:rsidRDefault="005F68DE">
      <w:pPr>
        <w:pStyle w:val="ListParagraph"/>
        <w:ind w:left="0"/>
        <w:rPr>
          <w:rFonts w:ascii="Verdana" w:hAnsi="Verdana" w:cs="Times New Roman"/>
          <w:sz w:val="22"/>
          <w:szCs w:val="22"/>
        </w:rPr>
      </w:pPr>
      <w:r w:rsidRPr="0093704C">
        <w:rPr>
          <w:rFonts w:ascii="Verdana" w:hAnsi="Verdana" w:cs="Times New Roman"/>
          <w:sz w:val="22"/>
          <w:szCs w:val="22"/>
        </w:rPr>
        <w:t>In parallel on-going work is modifying the system of national accounts to include some aspects of the environment.</w:t>
      </w:r>
    </w:p>
    <w:p w14:paraId="7BEFF887" w14:textId="77777777" w:rsidR="005F68DE" w:rsidRPr="0093704C" w:rsidRDefault="005F68DE">
      <w:pPr>
        <w:pStyle w:val="ListParagraph"/>
        <w:ind w:left="0"/>
        <w:rPr>
          <w:rFonts w:ascii="Verdana" w:hAnsi="Verdana" w:cs="Times New Roman"/>
          <w:sz w:val="22"/>
          <w:szCs w:val="22"/>
        </w:rPr>
      </w:pPr>
    </w:p>
    <w:p w14:paraId="401E42B0" w14:textId="3556C23F" w:rsidR="005F68DE" w:rsidRPr="0093704C" w:rsidRDefault="005F68DE">
      <w:pPr>
        <w:pStyle w:val="ListParagraph"/>
        <w:ind w:left="0"/>
        <w:rPr>
          <w:rFonts w:ascii="Verdana" w:hAnsi="Verdana" w:cs="Times New Roman"/>
          <w:b/>
          <w:sz w:val="22"/>
          <w:szCs w:val="22"/>
        </w:rPr>
      </w:pPr>
      <w:r w:rsidRPr="0093704C">
        <w:rPr>
          <w:rFonts w:ascii="Verdana" w:hAnsi="Verdana" w:cs="Times New Roman"/>
          <w:b/>
          <w:sz w:val="22"/>
          <w:szCs w:val="22"/>
        </w:rPr>
        <w:t>3.3</w:t>
      </w:r>
      <w:r w:rsidRPr="0093704C">
        <w:rPr>
          <w:rFonts w:ascii="Verdana" w:hAnsi="Verdana" w:cs="Times New Roman"/>
          <w:b/>
          <w:sz w:val="22"/>
          <w:szCs w:val="22"/>
        </w:rPr>
        <w:tab/>
        <w:t>The System of National Accounts (SNA)</w:t>
      </w:r>
    </w:p>
    <w:p w14:paraId="63F1264A" w14:textId="77777777" w:rsidR="005F68DE" w:rsidRPr="0093704C" w:rsidRDefault="005F68DE">
      <w:pPr>
        <w:pStyle w:val="ListParagraph"/>
        <w:ind w:left="0"/>
        <w:rPr>
          <w:rFonts w:ascii="Verdana" w:hAnsi="Verdana" w:cs="Times New Roman"/>
          <w:sz w:val="22"/>
          <w:szCs w:val="22"/>
        </w:rPr>
      </w:pPr>
    </w:p>
    <w:p w14:paraId="1B8E81B9" w14:textId="77777777" w:rsidR="005F0B38" w:rsidRPr="0093704C" w:rsidRDefault="005F0B38" w:rsidP="005F0B38">
      <w:pPr>
        <w:pStyle w:val="Body"/>
        <w:rPr>
          <w:rFonts w:ascii="Verdana" w:eastAsia="Times New Roman" w:hAnsi="Verdana" w:cs="Times New Roman"/>
          <w:sz w:val="22"/>
          <w:szCs w:val="22"/>
        </w:rPr>
      </w:pPr>
      <w:r w:rsidRPr="0093704C">
        <w:rPr>
          <w:rFonts w:ascii="Verdana" w:eastAsia="Times New Roman" w:hAnsi="Verdana"/>
          <w:sz w:val="22"/>
          <w:szCs w:val="22"/>
        </w:rPr>
        <w:t xml:space="preserve">The System of National Accounts (SNA) is the internationally agreed standard set of recommendations on how to compile measures of economic activity. The SNA describes a coherent, consistent and integrated set of macroeconomic accounts in the context of a set of internationally agreed concepts, definitions, classifications and accounting rules.  </w:t>
      </w:r>
      <w:r w:rsidRPr="0093704C">
        <w:rPr>
          <w:rFonts w:ascii="Verdana" w:eastAsia="Times New Roman" w:hAnsi="Verdana" w:cs="Times New Roman"/>
          <w:sz w:val="22"/>
          <w:szCs w:val="22"/>
        </w:rPr>
        <w:t xml:space="preserve">The System of Environmental-Economic Accounting (SEEA) follows a similar accounting structure as the SNA, expanding it for producing internationally comparable statistics on the environment and its relationship with the economy. </w:t>
      </w:r>
    </w:p>
    <w:p w14:paraId="45135CDD" w14:textId="77777777" w:rsidR="005F0B38" w:rsidRPr="0093704C" w:rsidRDefault="005F0B38" w:rsidP="005F0B38">
      <w:pPr>
        <w:pStyle w:val="ListParagraph"/>
        <w:ind w:left="0"/>
        <w:rPr>
          <w:rFonts w:ascii="Verdana" w:eastAsia="Times New Roman" w:hAnsi="Verdana" w:cs="Times New Roman"/>
          <w:sz w:val="22"/>
          <w:szCs w:val="22"/>
        </w:rPr>
      </w:pPr>
    </w:p>
    <w:p w14:paraId="12DE6F24" w14:textId="77777777" w:rsidR="005F0B38" w:rsidRPr="0093704C" w:rsidRDefault="005F0B38" w:rsidP="005F0B38">
      <w:pPr>
        <w:pStyle w:val="ListParagraph"/>
        <w:ind w:left="0"/>
        <w:rPr>
          <w:rFonts w:ascii="Verdana" w:eastAsia="Times New Roman" w:hAnsi="Verdana" w:cs="Times New Roman"/>
          <w:sz w:val="22"/>
          <w:szCs w:val="22"/>
        </w:rPr>
      </w:pPr>
      <w:r w:rsidRPr="0093704C">
        <w:rPr>
          <w:rFonts w:ascii="Verdana" w:eastAsia="Times New Roman" w:hAnsi="Verdana" w:cs="Times New Roman"/>
          <w:sz w:val="22"/>
          <w:szCs w:val="22"/>
        </w:rPr>
        <w:t>A revised version of SEEA was adopted by the UN in 2012 as an international standard to be used throughout the world.  In May 2014 a new EU regulation amended the European SEEA adding three new modules on environmental protection expenditure accounts, environmental goods and services accounts and physical energy flow accounts.  The European Strategy for Environmental Accounts (ESEA) aims to ensure data quality and harmonisation.  Member states already deliver data of three existing modules: emissions, environmental taxes and material flows.  The three new modules will become obligatory in 2017.</w:t>
      </w:r>
    </w:p>
    <w:p w14:paraId="7A5A7E48" w14:textId="77777777" w:rsidR="005F0B38" w:rsidRPr="0093704C" w:rsidRDefault="005F0B38" w:rsidP="005F0B38">
      <w:pPr>
        <w:pStyle w:val="ListParagraph"/>
        <w:ind w:left="0"/>
        <w:rPr>
          <w:rFonts w:ascii="Verdana" w:eastAsia="Times New Roman" w:hAnsi="Verdana" w:cs="Times New Roman"/>
          <w:sz w:val="22"/>
          <w:szCs w:val="22"/>
        </w:rPr>
      </w:pPr>
    </w:p>
    <w:p w14:paraId="5C66AACD" w14:textId="64889823" w:rsidR="005F68DE" w:rsidRPr="0093704C" w:rsidRDefault="005F0B38">
      <w:pPr>
        <w:pStyle w:val="ListParagraph"/>
        <w:ind w:left="0"/>
        <w:rPr>
          <w:rFonts w:ascii="Verdana" w:eastAsia="Times New Roman" w:hAnsi="Verdana" w:cs="Times New Roman"/>
          <w:sz w:val="22"/>
          <w:szCs w:val="22"/>
        </w:rPr>
      </w:pPr>
      <w:r w:rsidRPr="0093704C">
        <w:rPr>
          <w:rFonts w:ascii="Verdana" w:eastAsia="Times New Roman" w:hAnsi="Verdana" w:cs="Times New Roman"/>
          <w:sz w:val="22"/>
          <w:szCs w:val="22"/>
        </w:rPr>
        <w:t xml:space="preserve">Further developments are under way on a conceptual framework for SEEA experimental ecosystem accounting, being coordinated by the UN </w:t>
      </w:r>
      <w:r w:rsidRPr="0093704C">
        <w:rPr>
          <w:rFonts w:ascii="Verdana" w:eastAsia="Times New Roman" w:hAnsi="Verdana" w:cs="Times New Roman"/>
          <w:sz w:val="22"/>
          <w:szCs w:val="22"/>
        </w:rPr>
        <w:lastRenderedPageBreak/>
        <w:t>Statistics Division, the European Environment Agency and the World Bank WAVES global partnership</w:t>
      </w:r>
      <w:r w:rsidRPr="0093704C">
        <w:rPr>
          <w:rStyle w:val="FootnoteReference"/>
          <w:rFonts w:ascii="Verdana" w:eastAsia="Times New Roman" w:hAnsi="Verdana" w:cs="Times New Roman"/>
          <w:sz w:val="22"/>
          <w:szCs w:val="22"/>
        </w:rPr>
        <w:footnoteReference w:id="20"/>
      </w:r>
      <w:r w:rsidRPr="0093704C">
        <w:rPr>
          <w:rFonts w:ascii="Verdana" w:eastAsia="Times New Roman" w:hAnsi="Verdana" w:cs="Times New Roman"/>
          <w:sz w:val="22"/>
          <w:szCs w:val="22"/>
        </w:rPr>
        <w:t>.</w:t>
      </w:r>
    </w:p>
    <w:p w14:paraId="7D86D641" w14:textId="77777777" w:rsidR="00950E2A" w:rsidRDefault="00950E2A">
      <w:pPr>
        <w:pStyle w:val="ListParagraph"/>
        <w:ind w:left="0"/>
        <w:rPr>
          <w:rFonts w:ascii="Verdana" w:hAnsi="Verdana" w:cs="Times New Roman"/>
          <w:sz w:val="22"/>
          <w:szCs w:val="22"/>
        </w:rPr>
      </w:pPr>
    </w:p>
    <w:p w14:paraId="425892CC" w14:textId="687C53CA" w:rsidR="0045389F" w:rsidRPr="00950E2A" w:rsidRDefault="00AB4F16">
      <w:pPr>
        <w:pStyle w:val="ListParagraph"/>
        <w:ind w:left="0"/>
        <w:rPr>
          <w:rFonts w:ascii="Verdana" w:hAnsi="Verdana" w:cs="Times New Roman"/>
          <w:b/>
          <w:bCs/>
        </w:rPr>
      </w:pPr>
      <w:r w:rsidRPr="0093704C">
        <w:rPr>
          <w:rFonts w:ascii="Verdana" w:hAnsi="Verdana" w:cs="Times New Roman"/>
          <w:sz w:val="22"/>
          <w:szCs w:val="22"/>
        </w:rPr>
        <w:br/>
      </w:r>
      <w:r w:rsidR="003442B7" w:rsidRPr="00950E2A">
        <w:rPr>
          <w:rFonts w:ascii="Verdana" w:hAnsi="Verdana" w:cs="Times New Roman"/>
          <w:b/>
          <w:bCs/>
        </w:rPr>
        <w:t>4</w:t>
      </w:r>
      <w:r w:rsidR="003442B7" w:rsidRPr="00950E2A">
        <w:rPr>
          <w:rFonts w:ascii="Verdana" w:hAnsi="Verdana" w:cs="Times New Roman"/>
          <w:b/>
          <w:bCs/>
        </w:rPr>
        <w:tab/>
        <w:t>Alternative measures of wellbeing and sustainability</w:t>
      </w:r>
    </w:p>
    <w:p w14:paraId="04A753CA" w14:textId="77777777" w:rsidR="003442B7" w:rsidRPr="0093704C" w:rsidRDefault="003442B7">
      <w:pPr>
        <w:pStyle w:val="ListParagraph"/>
        <w:ind w:left="0"/>
        <w:rPr>
          <w:rFonts w:ascii="Verdana" w:hAnsi="Verdana" w:cs="Times New Roman"/>
          <w:sz w:val="22"/>
          <w:szCs w:val="22"/>
        </w:rPr>
      </w:pPr>
    </w:p>
    <w:p w14:paraId="5B0483A9"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A large number of initiatives have sought to develop methods for assessing societal success and wellbeing.  BRAINPOol</w:t>
      </w:r>
      <w:r w:rsidRPr="0093704C">
        <w:rPr>
          <w:rFonts w:ascii="Verdana" w:eastAsia="Times New Roman" w:hAnsi="Verdana" w:cs="Times New Roman"/>
          <w:sz w:val="22"/>
          <w:szCs w:val="22"/>
          <w:vertAlign w:val="superscript"/>
        </w:rPr>
        <w:footnoteReference w:id="21"/>
      </w:r>
      <w:r w:rsidRPr="0093704C">
        <w:rPr>
          <w:rFonts w:ascii="Verdana" w:hAnsi="Verdana" w:cs="Times New Roman"/>
          <w:sz w:val="22"/>
          <w:szCs w:val="22"/>
        </w:rPr>
        <w:t xml:space="preserve"> has developed a spreadsheet summarising 95 indicators / indicator initiatives.  Information is provided on aspects such as the type of indicator, the organisation behind the initiative and the domains measured.  It reveals the broad variety of indicators presently in use and the range of initiatives that have been developed</w:t>
      </w:r>
      <w:r w:rsidRPr="0093704C">
        <w:rPr>
          <w:rFonts w:ascii="Verdana" w:eastAsia="Times New Roman" w:hAnsi="Verdana" w:cs="Times New Roman"/>
          <w:sz w:val="22"/>
          <w:szCs w:val="22"/>
          <w:vertAlign w:val="superscript"/>
        </w:rPr>
        <w:footnoteReference w:id="22"/>
      </w:r>
      <w:r w:rsidRPr="0093704C">
        <w:rPr>
          <w:rFonts w:ascii="Verdana" w:hAnsi="Verdana" w:cs="Times New Roman"/>
          <w:sz w:val="22"/>
          <w:szCs w:val="22"/>
        </w:rPr>
        <w:t>.  The following sections will summarise some of these.</w:t>
      </w:r>
    </w:p>
    <w:p w14:paraId="2B0C41A9" w14:textId="42895764" w:rsidR="0045389F" w:rsidRPr="0093704C" w:rsidRDefault="0045389F">
      <w:pPr>
        <w:pStyle w:val="ListParagraph"/>
        <w:ind w:left="0"/>
        <w:rPr>
          <w:rFonts w:ascii="Verdana" w:hAnsi="Verdana" w:cs="Times New Roman"/>
          <w:b/>
          <w:bCs/>
          <w:sz w:val="22"/>
          <w:szCs w:val="22"/>
        </w:rPr>
      </w:pPr>
    </w:p>
    <w:p w14:paraId="103FB675" w14:textId="0090238A"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4.1</w:t>
      </w:r>
      <w:r w:rsidRPr="0093704C">
        <w:rPr>
          <w:rFonts w:ascii="Verdana" w:hAnsi="Verdana" w:cs="Times New Roman"/>
          <w:b/>
          <w:bCs/>
          <w:sz w:val="22"/>
          <w:szCs w:val="22"/>
        </w:rPr>
        <w:tab/>
        <w:t>Assessing wellbeing</w:t>
      </w:r>
    </w:p>
    <w:p w14:paraId="224612F9" w14:textId="77777777" w:rsidR="003442B7" w:rsidRPr="0093704C" w:rsidRDefault="003442B7">
      <w:pPr>
        <w:pStyle w:val="ListParagraph"/>
        <w:ind w:left="0"/>
        <w:rPr>
          <w:rFonts w:ascii="Verdana" w:hAnsi="Verdana" w:cs="Times New Roman"/>
          <w:sz w:val="22"/>
          <w:szCs w:val="22"/>
        </w:rPr>
      </w:pPr>
    </w:p>
    <w:p w14:paraId="7747539C" w14:textId="29EA7032"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Alternative measures of wellbeing have generally followed one of four quite distinct approaches</w:t>
      </w:r>
      <w:r w:rsidR="00860973" w:rsidRPr="0093704C">
        <w:rPr>
          <w:rFonts w:ascii="Verdana" w:hAnsi="Verdana" w:cs="Times New Roman"/>
          <w:sz w:val="22"/>
          <w:szCs w:val="22"/>
        </w:rPr>
        <w:t>:</w:t>
      </w:r>
    </w:p>
    <w:p w14:paraId="065F6EDA" w14:textId="21DF08FB" w:rsidR="0045389F" w:rsidRPr="0093704C" w:rsidRDefault="00AB4F16" w:rsidP="00AA1D17">
      <w:pPr>
        <w:pStyle w:val="ListParagraph"/>
        <w:ind w:left="709" w:hanging="425"/>
        <w:rPr>
          <w:rFonts w:ascii="Verdana" w:hAnsi="Verdana" w:cs="Times New Roman"/>
          <w:sz w:val="22"/>
          <w:szCs w:val="22"/>
        </w:rPr>
      </w:pPr>
      <w:r w:rsidRPr="0093704C">
        <w:rPr>
          <w:rFonts w:ascii="Verdana" w:hAnsi="Verdana" w:cs="Times New Roman"/>
          <w:sz w:val="22"/>
          <w:szCs w:val="22"/>
        </w:rPr>
        <w:t>1.</w:t>
      </w:r>
      <w:r w:rsidRPr="0093704C">
        <w:rPr>
          <w:rFonts w:ascii="Verdana" w:hAnsi="Verdana" w:cs="Times New Roman"/>
          <w:sz w:val="22"/>
          <w:szCs w:val="22"/>
        </w:rPr>
        <w:tab/>
        <w:t>Quality of life indicator sets or dashboards</w:t>
      </w:r>
      <w:r w:rsidR="00860973" w:rsidRPr="0093704C">
        <w:rPr>
          <w:rFonts w:ascii="Verdana" w:hAnsi="Verdana" w:cs="Times New Roman"/>
          <w:sz w:val="22"/>
          <w:szCs w:val="22"/>
        </w:rPr>
        <w:t>;</w:t>
      </w:r>
      <w:r w:rsidRPr="0093704C">
        <w:rPr>
          <w:rFonts w:ascii="Verdana" w:hAnsi="Verdana" w:cs="Times New Roman"/>
          <w:sz w:val="22"/>
          <w:szCs w:val="22"/>
        </w:rPr>
        <w:t xml:space="preserve"> </w:t>
      </w:r>
    </w:p>
    <w:p w14:paraId="162C5952" w14:textId="38FFB25A" w:rsidR="0045389F" w:rsidRPr="0093704C" w:rsidRDefault="00AB4F16" w:rsidP="00AA1D17">
      <w:pPr>
        <w:pStyle w:val="ListParagraph"/>
        <w:ind w:left="709" w:hanging="425"/>
        <w:rPr>
          <w:rFonts w:ascii="Verdana" w:hAnsi="Verdana" w:cs="Times New Roman"/>
          <w:sz w:val="22"/>
          <w:szCs w:val="22"/>
        </w:rPr>
      </w:pPr>
      <w:r w:rsidRPr="0093704C">
        <w:rPr>
          <w:rFonts w:ascii="Verdana" w:hAnsi="Verdana" w:cs="Times New Roman"/>
          <w:sz w:val="22"/>
          <w:szCs w:val="22"/>
        </w:rPr>
        <w:t>2.</w:t>
      </w:r>
      <w:r w:rsidRPr="0093704C">
        <w:rPr>
          <w:rFonts w:ascii="Verdana" w:hAnsi="Verdana" w:cs="Times New Roman"/>
          <w:sz w:val="22"/>
          <w:szCs w:val="22"/>
        </w:rPr>
        <w:tab/>
        <w:t>Composite quality of life indicators - aggregating these indicators into a composite social indicator of quality of life</w:t>
      </w:r>
      <w:r w:rsidR="00860973" w:rsidRPr="0093704C">
        <w:rPr>
          <w:rFonts w:ascii="Verdana" w:hAnsi="Verdana" w:cs="Times New Roman"/>
          <w:sz w:val="22"/>
          <w:szCs w:val="22"/>
        </w:rPr>
        <w:t>;</w:t>
      </w:r>
    </w:p>
    <w:p w14:paraId="3E6B5423" w14:textId="726D2E4F" w:rsidR="0045389F" w:rsidRPr="0093704C" w:rsidRDefault="00AB4F16" w:rsidP="00AA1D17">
      <w:pPr>
        <w:pStyle w:val="ListParagraph"/>
        <w:ind w:left="709" w:hanging="425"/>
        <w:rPr>
          <w:rFonts w:ascii="Verdana" w:hAnsi="Verdana" w:cs="Times New Roman"/>
          <w:sz w:val="22"/>
          <w:szCs w:val="22"/>
        </w:rPr>
      </w:pPr>
      <w:r w:rsidRPr="0093704C">
        <w:rPr>
          <w:rFonts w:ascii="Verdana" w:hAnsi="Verdana" w:cs="Times New Roman"/>
          <w:sz w:val="22"/>
          <w:szCs w:val="22"/>
        </w:rPr>
        <w:t>3.</w:t>
      </w:r>
      <w:r w:rsidRPr="0093704C">
        <w:rPr>
          <w:rFonts w:ascii="Verdana" w:hAnsi="Verdana" w:cs="Times New Roman"/>
          <w:sz w:val="22"/>
          <w:szCs w:val="22"/>
        </w:rPr>
        <w:tab/>
        <w:t xml:space="preserve">Indicators of subjective wellbeing </w:t>
      </w:r>
      <w:r w:rsidR="00860973" w:rsidRPr="0093704C">
        <w:rPr>
          <w:rFonts w:ascii="Verdana" w:hAnsi="Verdana" w:cs="Times New Roman"/>
          <w:sz w:val="22"/>
          <w:szCs w:val="22"/>
        </w:rPr>
        <w:t xml:space="preserve">– reporting </w:t>
      </w:r>
      <w:r w:rsidRPr="0093704C">
        <w:rPr>
          <w:rFonts w:ascii="Verdana" w:hAnsi="Verdana" w:cs="Times New Roman"/>
          <w:sz w:val="22"/>
          <w:szCs w:val="22"/>
        </w:rPr>
        <w:t>life satisfaction</w:t>
      </w:r>
      <w:r w:rsidR="00860973" w:rsidRPr="0093704C">
        <w:rPr>
          <w:rFonts w:ascii="Verdana" w:hAnsi="Verdana" w:cs="Times New Roman"/>
          <w:sz w:val="22"/>
          <w:szCs w:val="22"/>
        </w:rPr>
        <w:t>;</w:t>
      </w:r>
    </w:p>
    <w:p w14:paraId="3687A925" w14:textId="61967FB6" w:rsidR="0045389F" w:rsidRPr="0093704C" w:rsidRDefault="00AB4F16" w:rsidP="00AA1D17">
      <w:pPr>
        <w:pStyle w:val="ListParagraph"/>
        <w:ind w:left="709" w:hanging="425"/>
        <w:rPr>
          <w:rFonts w:ascii="Verdana" w:hAnsi="Verdana" w:cs="Times New Roman"/>
          <w:sz w:val="22"/>
          <w:szCs w:val="22"/>
        </w:rPr>
      </w:pPr>
      <w:r w:rsidRPr="0093704C">
        <w:rPr>
          <w:rFonts w:ascii="Verdana" w:hAnsi="Verdana" w:cs="Times New Roman"/>
          <w:sz w:val="22"/>
          <w:szCs w:val="22"/>
        </w:rPr>
        <w:t>4.</w:t>
      </w:r>
      <w:r w:rsidRPr="0093704C">
        <w:rPr>
          <w:rFonts w:ascii="Verdana" w:hAnsi="Verdana" w:cs="Times New Roman"/>
          <w:sz w:val="22"/>
          <w:szCs w:val="22"/>
        </w:rPr>
        <w:tab/>
        <w:t>Adjusted economic indicators</w:t>
      </w:r>
      <w:r w:rsidR="00860973" w:rsidRPr="0093704C">
        <w:rPr>
          <w:rFonts w:ascii="Verdana" w:hAnsi="Verdana" w:cs="Times New Roman"/>
          <w:sz w:val="22"/>
          <w:szCs w:val="22"/>
        </w:rPr>
        <w:t xml:space="preserve"> attempting</w:t>
      </w:r>
      <w:r w:rsidRPr="0093704C">
        <w:rPr>
          <w:rFonts w:ascii="Verdana" w:hAnsi="Verdana" w:cs="Times New Roman"/>
          <w:sz w:val="22"/>
          <w:szCs w:val="22"/>
        </w:rPr>
        <w:t xml:space="preserve"> to develop monetised accounts of the factors that affect wellbeing.</w:t>
      </w:r>
    </w:p>
    <w:p w14:paraId="0D70AF89" w14:textId="77777777" w:rsidR="0045389F" w:rsidRPr="0093704C" w:rsidRDefault="0045389F">
      <w:pPr>
        <w:pStyle w:val="ListParagraph"/>
        <w:ind w:left="0"/>
        <w:rPr>
          <w:rFonts w:ascii="Verdana" w:hAnsi="Verdana" w:cs="Times New Roman"/>
          <w:sz w:val="22"/>
          <w:szCs w:val="22"/>
        </w:rPr>
      </w:pPr>
    </w:p>
    <w:p w14:paraId="370ACC00" w14:textId="65AE626D"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4.1</w:t>
      </w:r>
      <w:r w:rsidR="00AB4F16" w:rsidRPr="0093704C">
        <w:rPr>
          <w:rFonts w:ascii="Verdana" w:hAnsi="Verdana" w:cs="Times New Roman"/>
          <w:b/>
          <w:bCs/>
          <w:sz w:val="22"/>
          <w:szCs w:val="22"/>
        </w:rPr>
        <w:t>1</w:t>
      </w:r>
      <w:r w:rsidR="00AB4F16" w:rsidRPr="0093704C">
        <w:rPr>
          <w:rFonts w:ascii="Verdana" w:hAnsi="Verdana" w:cs="Times New Roman"/>
          <w:b/>
          <w:bCs/>
          <w:sz w:val="22"/>
          <w:szCs w:val="22"/>
        </w:rPr>
        <w:tab/>
        <w:t>Quality of Life indicator sets</w:t>
      </w:r>
    </w:p>
    <w:p w14:paraId="3440DC70" w14:textId="0C0687A0"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This is the most common approach taken by Governments and was promoted by the Stiglitz-Sen-Fitoussi report.  The advantage of indicator sets is they allow one to assess progress against individual indicators at any time.  However, their main limitation is that they don’t give an overall direction.  The </w:t>
      </w:r>
      <w:r w:rsidRPr="0093704C">
        <w:rPr>
          <w:rFonts w:ascii="Verdana" w:hAnsi="Verdana" w:cs="Times New Roman"/>
          <w:i/>
          <w:sz w:val="22"/>
          <w:szCs w:val="22"/>
        </w:rPr>
        <w:t xml:space="preserve">National Performance Framework </w:t>
      </w:r>
      <w:r w:rsidRPr="0093704C">
        <w:rPr>
          <w:rFonts w:ascii="Verdana" w:hAnsi="Verdana" w:cs="Times New Roman"/>
          <w:sz w:val="22"/>
          <w:szCs w:val="22"/>
        </w:rPr>
        <w:t xml:space="preserve">includes a dashboard of indicators.  Other examples include the DEFRA </w:t>
      </w:r>
      <w:r w:rsidRPr="0093704C">
        <w:rPr>
          <w:rFonts w:ascii="Verdana" w:hAnsi="Verdana" w:cs="Times New Roman"/>
          <w:i/>
          <w:sz w:val="22"/>
          <w:szCs w:val="22"/>
        </w:rPr>
        <w:t>Sustainable Development Indicators</w:t>
      </w:r>
      <w:r w:rsidRPr="0093704C">
        <w:rPr>
          <w:rFonts w:ascii="Verdana" w:hAnsi="Verdana" w:cs="Times New Roman"/>
          <w:sz w:val="22"/>
          <w:szCs w:val="22"/>
        </w:rPr>
        <w:t>, published in 2013</w:t>
      </w:r>
      <w:r w:rsidRPr="0093704C">
        <w:rPr>
          <w:rFonts w:ascii="Verdana" w:eastAsia="Times New Roman" w:hAnsi="Verdana" w:cs="Times New Roman"/>
          <w:sz w:val="22"/>
          <w:szCs w:val="22"/>
          <w:vertAlign w:val="superscript"/>
        </w:rPr>
        <w:footnoteReference w:id="23"/>
      </w:r>
      <w:r w:rsidR="00656C51" w:rsidRPr="0093704C">
        <w:rPr>
          <w:rFonts w:ascii="Verdana" w:hAnsi="Verdana" w:cs="Times New Roman"/>
          <w:sz w:val="22"/>
          <w:szCs w:val="22"/>
        </w:rPr>
        <w:t xml:space="preserve">, the Office for National Statistics </w:t>
      </w:r>
      <w:r w:rsidR="004364C6" w:rsidRPr="0093704C">
        <w:rPr>
          <w:rFonts w:ascii="Verdana" w:hAnsi="Verdana" w:cs="Times New Roman"/>
          <w:i/>
          <w:sz w:val="22"/>
          <w:szCs w:val="22"/>
        </w:rPr>
        <w:t>Measuring National Well</w:t>
      </w:r>
      <w:r w:rsidR="00656C51" w:rsidRPr="0093704C">
        <w:rPr>
          <w:rFonts w:ascii="Verdana" w:hAnsi="Verdana" w:cs="Times New Roman"/>
          <w:i/>
          <w:sz w:val="22"/>
          <w:szCs w:val="22"/>
        </w:rPr>
        <w:t>being</w:t>
      </w:r>
      <w:r w:rsidR="00656C51" w:rsidRPr="0093704C">
        <w:rPr>
          <w:rFonts w:ascii="Verdana" w:hAnsi="Verdana" w:cs="Times New Roman"/>
          <w:sz w:val="22"/>
          <w:szCs w:val="22"/>
        </w:rPr>
        <w:t xml:space="preserve"> project</w:t>
      </w:r>
      <w:r w:rsidR="00656C51" w:rsidRPr="0093704C">
        <w:rPr>
          <w:rStyle w:val="FootnoteReference"/>
          <w:rFonts w:ascii="Verdana" w:hAnsi="Verdana" w:cs="Times New Roman"/>
          <w:sz w:val="22"/>
          <w:szCs w:val="22"/>
        </w:rPr>
        <w:footnoteReference w:id="24"/>
      </w:r>
      <w:r w:rsidRPr="0093704C">
        <w:rPr>
          <w:rFonts w:ascii="Verdana" w:hAnsi="Verdana" w:cs="Times New Roman"/>
          <w:sz w:val="22"/>
          <w:szCs w:val="22"/>
        </w:rPr>
        <w:t xml:space="preserve"> and the OECD </w:t>
      </w:r>
      <w:r w:rsidRPr="0093704C">
        <w:rPr>
          <w:rFonts w:ascii="Verdana" w:hAnsi="Verdana" w:cs="Times New Roman"/>
          <w:i/>
          <w:sz w:val="22"/>
          <w:szCs w:val="22"/>
        </w:rPr>
        <w:t>Better Life Index</w:t>
      </w:r>
      <w:r w:rsidRPr="0093704C">
        <w:rPr>
          <w:rFonts w:ascii="Verdana" w:eastAsia="Times New Roman" w:hAnsi="Verdana" w:cs="Times New Roman"/>
          <w:sz w:val="22"/>
          <w:szCs w:val="22"/>
          <w:vertAlign w:val="superscript"/>
        </w:rPr>
        <w:footnoteReference w:id="25"/>
      </w:r>
      <w:r w:rsidRPr="0093704C">
        <w:rPr>
          <w:rFonts w:ascii="Verdana" w:hAnsi="Verdana" w:cs="Times New Roman"/>
          <w:sz w:val="22"/>
          <w:szCs w:val="22"/>
        </w:rPr>
        <w:t xml:space="preserve">. The most recent development is the publication of the </w:t>
      </w:r>
      <w:r w:rsidRPr="0093704C">
        <w:rPr>
          <w:rFonts w:ascii="Verdana" w:hAnsi="Verdana" w:cs="Times New Roman"/>
          <w:i/>
          <w:sz w:val="22"/>
          <w:szCs w:val="22"/>
        </w:rPr>
        <w:t>8 + 1 dimensions of quality of life</w:t>
      </w:r>
      <w:r w:rsidRPr="0093704C">
        <w:rPr>
          <w:rFonts w:ascii="Verdana" w:hAnsi="Verdana" w:cs="Times New Roman"/>
          <w:sz w:val="22"/>
          <w:szCs w:val="22"/>
        </w:rPr>
        <w:t xml:space="preserve"> by Eurostat in March 2014</w:t>
      </w:r>
      <w:r w:rsidRPr="0093704C">
        <w:rPr>
          <w:rFonts w:ascii="Verdana" w:eastAsia="Times New Roman" w:hAnsi="Verdana" w:cs="Times New Roman"/>
          <w:sz w:val="22"/>
          <w:szCs w:val="22"/>
          <w:vertAlign w:val="superscript"/>
        </w:rPr>
        <w:footnoteReference w:id="26"/>
      </w:r>
      <w:r w:rsidRPr="0093704C">
        <w:rPr>
          <w:rFonts w:ascii="Verdana" w:hAnsi="Verdana" w:cs="Times New Roman"/>
          <w:sz w:val="22"/>
          <w:szCs w:val="22"/>
        </w:rPr>
        <w:t xml:space="preserve">.   It includes 8 objective and one subjective dimension which, together, provide an overarching framework for the measurement of wellbeing to be considered </w:t>
      </w:r>
      <w:r w:rsidR="00914801" w:rsidRPr="0093704C">
        <w:rPr>
          <w:rFonts w:ascii="Verdana" w:hAnsi="Verdana" w:cs="Times New Roman"/>
          <w:sz w:val="22"/>
          <w:szCs w:val="22"/>
        </w:rPr>
        <w:t xml:space="preserve">at the same time </w:t>
      </w:r>
      <w:r w:rsidRPr="0093704C">
        <w:rPr>
          <w:rFonts w:ascii="Verdana" w:hAnsi="Verdana" w:cs="Times New Roman"/>
          <w:sz w:val="22"/>
          <w:szCs w:val="22"/>
        </w:rPr>
        <w:t xml:space="preserve">because of the potential trade offs between them. </w:t>
      </w:r>
    </w:p>
    <w:p w14:paraId="3755969F" w14:textId="77777777" w:rsidR="0045389F" w:rsidRDefault="0045389F">
      <w:pPr>
        <w:pStyle w:val="ListParagraph"/>
        <w:ind w:left="0"/>
        <w:rPr>
          <w:rFonts w:ascii="Verdana" w:hAnsi="Verdana" w:cs="Times New Roman"/>
          <w:sz w:val="22"/>
          <w:szCs w:val="22"/>
        </w:rPr>
      </w:pPr>
    </w:p>
    <w:p w14:paraId="38D6845C" w14:textId="77777777" w:rsidR="00950E2A" w:rsidRPr="0093704C" w:rsidRDefault="00950E2A">
      <w:pPr>
        <w:pStyle w:val="ListParagraph"/>
        <w:ind w:left="0"/>
        <w:rPr>
          <w:rFonts w:ascii="Verdana" w:hAnsi="Verdana" w:cs="Times New Roman"/>
          <w:sz w:val="22"/>
          <w:szCs w:val="22"/>
        </w:rPr>
      </w:pPr>
    </w:p>
    <w:p w14:paraId="698014BF" w14:textId="718DC2A3"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lastRenderedPageBreak/>
        <w:t>4.1</w:t>
      </w:r>
      <w:r w:rsidR="00AB4F16" w:rsidRPr="0093704C">
        <w:rPr>
          <w:rFonts w:ascii="Verdana" w:hAnsi="Verdana" w:cs="Times New Roman"/>
          <w:b/>
          <w:bCs/>
          <w:sz w:val="22"/>
          <w:szCs w:val="22"/>
        </w:rPr>
        <w:t>2</w:t>
      </w:r>
      <w:r w:rsidR="00AB4F16" w:rsidRPr="0093704C">
        <w:rPr>
          <w:rFonts w:ascii="Verdana" w:hAnsi="Verdana" w:cs="Times New Roman"/>
          <w:b/>
          <w:bCs/>
          <w:sz w:val="22"/>
          <w:szCs w:val="22"/>
        </w:rPr>
        <w:tab/>
        <w:t>Composite quality of life indicators</w:t>
      </w:r>
    </w:p>
    <w:p w14:paraId="71A8CC0F"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One way of addressing the multiplicity of indicators is to aggregate them into a single composite quality of life indicator.  A well known example is the UN Development Programme’s </w:t>
      </w:r>
      <w:r w:rsidRPr="0093704C">
        <w:rPr>
          <w:rFonts w:ascii="Verdana" w:hAnsi="Verdana" w:cs="Times New Roman"/>
          <w:i/>
          <w:sz w:val="22"/>
          <w:szCs w:val="22"/>
        </w:rPr>
        <w:t>Human Development Index</w:t>
      </w:r>
      <w:r w:rsidRPr="0093704C">
        <w:rPr>
          <w:rFonts w:ascii="Verdana" w:hAnsi="Verdana" w:cs="Times New Roman"/>
          <w:sz w:val="22"/>
          <w:szCs w:val="22"/>
        </w:rPr>
        <w:t xml:space="preserve"> (HDI).  The HDI is composed of three elements: income per capita, life expectancy, and access to education</w:t>
      </w:r>
      <w:r w:rsidRPr="0093704C">
        <w:rPr>
          <w:rFonts w:ascii="Verdana" w:eastAsia="Times New Roman" w:hAnsi="Verdana" w:cs="Times New Roman"/>
          <w:sz w:val="22"/>
          <w:szCs w:val="22"/>
          <w:vertAlign w:val="superscript"/>
        </w:rPr>
        <w:footnoteReference w:id="27"/>
      </w:r>
      <w:r w:rsidRPr="0093704C">
        <w:rPr>
          <w:rFonts w:ascii="Verdana" w:hAnsi="Verdana" w:cs="Times New Roman"/>
          <w:sz w:val="22"/>
          <w:szCs w:val="22"/>
        </w:rPr>
        <w:t xml:space="preserve">.  Oxfam’s </w:t>
      </w:r>
      <w:r w:rsidRPr="0093704C">
        <w:rPr>
          <w:rFonts w:ascii="Verdana" w:hAnsi="Verdana" w:cs="Times New Roman"/>
          <w:i/>
          <w:sz w:val="22"/>
          <w:szCs w:val="22"/>
        </w:rPr>
        <w:t>Humankind index</w:t>
      </w:r>
      <w:r w:rsidRPr="0093704C">
        <w:rPr>
          <w:rFonts w:ascii="Verdana" w:hAnsi="Verdana" w:cs="Times New Roman"/>
          <w:sz w:val="22"/>
          <w:szCs w:val="22"/>
        </w:rPr>
        <w:t xml:space="preserve"> is another composite indicator</w:t>
      </w:r>
      <w:r w:rsidRPr="0093704C">
        <w:rPr>
          <w:rFonts w:ascii="Verdana" w:eastAsia="Times New Roman" w:hAnsi="Verdana" w:cs="Times New Roman"/>
          <w:sz w:val="22"/>
          <w:szCs w:val="22"/>
          <w:vertAlign w:val="superscript"/>
        </w:rPr>
        <w:footnoteReference w:id="28"/>
      </w:r>
      <w:r w:rsidRPr="0093704C">
        <w:rPr>
          <w:rFonts w:ascii="Verdana" w:hAnsi="Verdana" w:cs="Times New Roman"/>
          <w:sz w:val="22"/>
          <w:szCs w:val="22"/>
        </w:rPr>
        <w:t xml:space="preserve">.  A recent initiative, the </w:t>
      </w:r>
      <w:r w:rsidRPr="0093704C">
        <w:rPr>
          <w:rFonts w:ascii="Verdana" w:hAnsi="Verdana" w:cs="Times New Roman"/>
          <w:i/>
          <w:sz w:val="22"/>
          <w:szCs w:val="22"/>
        </w:rPr>
        <w:t>Social Progress Imperative</w:t>
      </w:r>
      <w:r w:rsidRPr="0093704C">
        <w:rPr>
          <w:rFonts w:ascii="Verdana" w:hAnsi="Verdana" w:cs="Times New Roman"/>
          <w:sz w:val="22"/>
          <w:szCs w:val="22"/>
        </w:rPr>
        <w:t>, produces the Social Progress Index (SPI), rating 132 countries on more than 50 indicators</w:t>
      </w:r>
      <w:r w:rsidRPr="0093704C">
        <w:rPr>
          <w:rFonts w:ascii="Verdana" w:eastAsia="Times New Roman" w:hAnsi="Verdana" w:cs="Times New Roman"/>
          <w:sz w:val="22"/>
          <w:szCs w:val="22"/>
          <w:vertAlign w:val="superscript"/>
        </w:rPr>
        <w:footnoteReference w:id="29"/>
      </w:r>
      <w:r w:rsidRPr="0093704C">
        <w:rPr>
          <w:rFonts w:ascii="Verdana" w:hAnsi="Verdana" w:cs="Times New Roman"/>
          <w:sz w:val="22"/>
          <w:szCs w:val="22"/>
        </w:rPr>
        <w:t>.  The main advantage of the composite quality of life indicators is that they offer a single point of comparison on the basis of a given set of factors.  One of the drawbacks of them is that they tend to be based on mixed units, rather than in monetary terms and have therefore been considered secondary to the System of National Accounts (SNA) and GDP</w:t>
      </w:r>
      <w:r w:rsidRPr="0093704C">
        <w:rPr>
          <w:rFonts w:ascii="Verdana" w:eastAsia="Times New Roman" w:hAnsi="Verdana" w:cs="Times New Roman"/>
          <w:sz w:val="22"/>
          <w:szCs w:val="22"/>
          <w:vertAlign w:val="superscript"/>
        </w:rPr>
        <w:footnoteReference w:id="30"/>
      </w:r>
      <w:r w:rsidRPr="0093704C">
        <w:rPr>
          <w:rFonts w:ascii="Verdana" w:hAnsi="Verdana" w:cs="Times New Roman"/>
          <w:sz w:val="22"/>
          <w:szCs w:val="22"/>
        </w:rPr>
        <w:t xml:space="preserve">.  </w:t>
      </w:r>
    </w:p>
    <w:p w14:paraId="73A95222" w14:textId="77777777" w:rsidR="0045389F" w:rsidRPr="0093704C" w:rsidRDefault="0045389F">
      <w:pPr>
        <w:pStyle w:val="ListParagraph"/>
        <w:ind w:left="0"/>
        <w:rPr>
          <w:rFonts w:ascii="Verdana" w:hAnsi="Verdana" w:cs="Times New Roman"/>
          <w:sz w:val="22"/>
          <w:szCs w:val="22"/>
        </w:rPr>
      </w:pPr>
    </w:p>
    <w:p w14:paraId="41C0D7C4" w14:textId="6670EC49"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4.1</w:t>
      </w:r>
      <w:r w:rsidR="00AB4F16" w:rsidRPr="0093704C">
        <w:rPr>
          <w:rFonts w:ascii="Verdana" w:hAnsi="Verdana" w:cs="Times New Roman"/>
          <w:b/>
          <w:bCs/>
          <w:sz w:val="22"/>
          <w:szCs w:val="22"/>
        </w:rPr>
        <w:t>3</w:t>
      </w:r>
      <w:r w:rsidR="00AB4F16" w:rsidRPr="0093704C">
        <w:rPr>
          <w:rFonts w:ascii="Verdana" w:hAnsi="Verdana" w:cs="Times New Roman"/>
          <w:b/>
          <w:bCs/>
          <w:sz w:val="22"/>
          <w:szCs w:val="22"/>
        </w:rPr>
        <w:tab/>
        <w:t>Indicators of Subjective Wellbeing</w:t>
      </w:r>
    </w:p>
    <w:p w14:paraId="1E2245F5"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Subjective wellbeing reflects people’s own perceptions of their wellbeing.   Subjective wellbeing assessments tend to give you one number such as the average satisfaction score of the population or the percentage of people that are happy or satisfied at any given time.  The most extensive database on reported life satisfaction is the </w:t>
      </w:r>
      <w:r w:rsidRPr="0093704C">
        <w:rPr>
          <w:rFonts w:ascii="Verdana" w:hAnsi="Verdana" w:cs="Times New Roman"/>
          <w:i/>
          <w:sz w:val="22"/>
          <w:szCs w:val="22"/>
        </w:rPr>
        <w:t>World Database of Happiness</w:t>
      </w:r>
      <w:r w:rsidRPr="0093704C">
        <w:rPr>
          <w:rFonts w:ascii="Verdana" w:hAnsi="Verdana" w:cs="Times New Roman"/>
          <w:sz w:val="22"/>
          <w:szCs w:val="22"/>
        </w:rPr>
        <w:t xml:space="preserve"> compiled in the Netherlands.  Data shows little correlation between happiness and GDP, especially in developed countries.  One theory is that the pursuit of growth has undermined some of the institutions (such as family, friends, community) that contribute to people’s long term wellbeing.  The UK Office for National Statistics has added 4 questions to assess subjective wellbeing to the Integrated Household Survey</w:t>
      </w:r>
      <w:r w:rsidRPr="0093704C">
        <w:rPr>
          <w:rFonts w:ascii="Verdana" w:eastAsia="Times New Roman" w:hAnsi="Verdana" w:cs="Times New Roman"/>
          <w:sz w:val="22"/>
          <w:szCs w:val="22"/>
          <w:vertAlign w:val="superscript"/>
        </w:rPr>
        <w:footnoteReference w:id="31"/>
      </w:r>
      <w:r w:rsidRPr="0093704C">
        <w:rPr>
          <w:rFonts w:ascii="Verdana" w:hAnsi="Verdana" w:cs="Times New Roman"/>
          <w:sz w:val="22"/>
          <w:szCs w:val="22"/>
        </w:rPr>
        <w:t xml:space="preserve"> as part of their </w:t>
      </w:r>
      <w:r w:rsidRPr="0093704C">
        <w:rPr>
          <w:rFonts w:ascii="Verdana" w:hAnsi="Verdana" w:cs="Times New Roman"/>
          <w:i/>
          <w:sz w:val="22"/>
          <w:szCs w:val="22"/>
        </w:rPr>
        <w:t xml:space="preserve">Measuring National Wellbeing Programme </w:t>
      </w:r>
      <w:r w:rsidRPr="0093704C">
        <w:rPr>
          <w:rFonts w:ascii="Verdana" w:hAnsi="Verdana" w:cs="Times New Roman"/>
          <w:sz w:val="22"/>
          <w:szCs w:val="22"/>
        </w:rPr>
        <w:t>(MNW).  There has been considerable debate about the usefulness of such indicators but analysis has shown them to be valuable if disaggregated to reveal wellbeing inequalities</w:t>
      </w:r>
      <w:r w:rsidRPr="0093704C">
        <w:rPr>
          <w:rFonts w:ascii="Verdana" w:eastAsia="Times New Roman" w:hAnsi="Verdana" w:cs="Times New Roman"/>
          <w:sz w:val="22"/>
          <w:szCs w:val="22"/>
          <w:vertAlign w:val="superscript"/>
        </w:rPr>
        <w:footnoteReference w:id="32"/>
      </w:r>
      <w:r w:rsidRPr="0093704C">
        <w:rPr>
          <w:rFonts w:ascii="Verdana" w:hAnsi="Verdana" w:cs="Times New Roman"/>
          <w:sz w:val="22"/>
          <w:szCs w:val="22"/>
        </w:rPr>
        <w:t xml:space="preserve">.  </w:t>
      </w:r>
    </w:p>
    <w:p w14:paraId="23E293FC" w14:textId="77777777" w:rsidR="0045389F" w:rsidRPr="0093704C" w:rsidRDefault="0045389F">
      <w:pPr>
        <w:pStyle w:val="ListParagraph"/>
        <w:ind w:left="0"/>
        <w:rPr>
          <w:rFonts w:ascii="Verdana" w:hAnsi="Verdana" w:cs="Times New Roman"/>
          <w:sz w:val="22"/>
          <w:szCs w:val="22"/>
        </w:rPr>
      </w:pPr>
    </w:p>
    <w:p w14:paraId="4653E511" w14:textId="15259D24"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4.1</w:t>
      </w:r>
      <w:r w:rsidR="00AB4F16" w:rsidRPr="0093704C">
        <w:rPr>
          <w:rFonts w:ascii="Verdana" w:hAnsi="Verdana" w:cs="Times New Roman"/>
          <w:b/>
          <w:bCs/>
          <w:sz w:val="22"/>
          <w:szCs w:val="22"/>
        </w:rPr>
        <w:t>4</w:t>
      </w:r>
      <w:r w:rsidR="00AB4F16" w:rsidRPr="0093704C">
        <w:rPr>
          <w:rFonts w:ascii="Verdana" w:hAnsi="Verdana" w:cs="Times New Roman"/>
          <w:b/>
          <w:bCs/>
          <w:sz w:val="22"/>
          <w:szCs w:val="22"/>
        </w:rPr>
        <w:tab/>
        <w:t>Modified economic indexes</w:t>
      </w:r>
    </w:p>
    <w:p w14:paraId="1B8791B3"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Modified economic indexes are based on neoclassical welfare economics and include non-market commodities, positive and negative, to yield an aggregated macro indicator in monetary terms.  The most widely used has been the </w:t>
      </w:r>
      <w:r w:rsidRPr="0093704C">
        <w:rPr>
          <w:rFonts w:ascii="Verdana" w:hAnsi="Verdana" w:cs="Times New Roman"/>
          <w:i/>
          <w:sz w:val="22"/>
          <w:szCs w:val="22"/>
        </w:rPr>
        <w:t>Index of Sustainable Economic Welfare</w:t>
      </w:r>
      <w:r w:rsidRPr="0093704C">
        <w:rPr>
          <w:rFonts w:ascii="Verdana" w:hAnsi="Verdana" w:cs="Times New Roman"/>
          <w:sz w:val="22"/>
          <w:szCs w:val="22"/>
        </w:rPr>
        <w:t xml:space="preserve"> (ISEW), originally developed by Daly and Cobb in 1989 and revised in 1990.  This was later renamed the </w:t>
      </w:r>
      <w:r w:rsidRPr="0093704C">
        <w:rPr>
          <w:rFonts w:ascii="Verdana" w:hAnsi="Verdana" w:cs="Times New Roman"/>
          <w:i/>
          <w:sz w:val="22"/>
          <w:szCs w:val="22"/>
        </w:rPr>
        <w:t>Genuine Progress Indicator</w:t>
      </w:r>
      <w:r w:rsidRPr="0093704C">
        <w:rPr>
          <w:rFonts w:ascii="Verdana" w:hAnsi="Verdana" w:cs="Times New Roman"/>
          <w:sz w:val="22"/>
          <w:szCs w:val="22"/>
        </w:rPr>
        <w:t xml:space="preserve"> (GPI) and had a further incarnation as the </w:t>
      </w:r>
      <w:r w:rsidRPr="0093704C">
        <w:rPr>
          <w:rFonts w:ascii="Verdana" w:hAnsi="Verdana" w:cs="Times New Roman"/>
          <w:i/>
          <w:sz w:val="22"/>
          <w:szCs w:val="22"/>
        </w:rPr>
        <w:t>Measure of Domestic Progress</w:t>
      </w:r>
      <w:r w:rsidRPr="0093704C">
        <w:rPr>
          <w:rFonts w:ascii="Verdana" w:hAnsi="Verdana" w:cs="Times New Roman"/>
          <w:sz w:val="22"/>
          <w:szCs w:val="22"/>
        </w:rPr>
        <w:t xml:space="preserve"> (MDP).  </w:t>
      </w:r>
    </w:p>
    <w:p w14:paraId="3AED2F4F" w14:textId="77777777" w:rsidR="0045389F" w:rsidRPr="0093704C" w:rsidRDefault="0045389F">
      <w:pPr>
        <w:pStyle w:val="ListParagraph"/>
        <w:ind w:left="0"/>
        <w:rPr>
          <w:rFonts w:ascii="Verdana" w:hAnsi="Verdana" w:cs="Times New Roman"/>
          <w:b/>
          <w:bCs/>
          <w:sz w:val="22"/>
          <w:szCs w:val="22"/>
        </w:rPr>
      </w:pPr>
    </w:p>
    <w:p w14:paraId="383CB4C7"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lastRenderedPageBreak/>
        <w:t>In the 1990s several European countries began building national ISEWs.  Some of these studies revised the model, partly due to methodological criticisms and partly because of local priorities or data limitations.  Jackson and McBride (2005) give an overview of a number of country ISEW initiatives and how they vary.  This obviously means that trends in ‘green GDP’ across Europe are difficult to summarise. However, in spite of the differences, the country studies are consistent in showing their adjusted indices growing more or less in line with GDP until the mid 70s or early 80s after which the adjusted measures tend to stabilise or decline, in spite of continuing growth of GDP.</w:t>
      </w:r>
    </w:p>
    <w:p w14:paraId="0BF01049" w14:textId="77777777" w:rsidR="0045389F" w:rsidRPr="0093704C" w:rsidRDefault="0045389F">
      <w:pPr>
        <w:pStyle w:val="ListParagraph"/>
        <w:ind w:left="0"/>
        <w:rPr>
          <w:rFonts w:ascii="Verdana" w:hAnsi="Verdana" w:cs="Times New Roman"/>
          <w:sz w:val="22"/>
          <w:szCs w:val="22"/>
        </w:rPr>
      </w:pPr>
    </w:p>
    <w:p w14:paraId="13AD79C5"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Criticisms of IESWs or other ‘green GDP’ indexes</w:t>
      </w:r>
      <w:r w:rsidR="009A0B70" w:rsidRPr="0093704C">
        <w:rPr>
          <w:rStyle w:val="FootnoteReference"/>
          <w:rFonts w:ascii="Verdana" w:hAnsi="Verdana" w:cs="Times New Roman"/>
          <w:sz w:val="22"/>
          <w:szCs w:val="22"/>
        </w:rPr>
        <w:footnoteReference w:id="33"/>
      </w:r>
      <w:r w:rsidRPr="0093704C">
        <w:rPr>
          <w:rFonts w:ascii="Verdana" w:hAnsi="Verdana" w:cs="Times New Roman"/>
          <w:sz w:val="22"/>
          <w:szCs w:val="22"/>
        </w:rPr>
        <w:t xml:space="preserve"> include</w:t>
      </w:r>
      <w:r w:rsidR="009A0B70" w:rsidRPr="0093704C">
        <w:rPr>
          <w:rFonts w:ascii="Verdana" w:hAnsi="Verdana" w:cs="Times New Roman"/>
          <w:sz w:val="22"/>
          <w:szCs w:val="22"/>
        </w:rPr>
        <w:t xml:space="preserve"> methodological difficulties in combining different entities and measuring some of the environmental and social components; the selectiveness around deciding what to include; and the </w:t>
      </w:r>
      <w:r w:rsidRPr="0093704C">
        <w:rPr>
          <w:rFonts w:ascii="Verdana" w:hAnsi="Verdana" w:cs="Times New Roman"/>
          <w:sz w:val="22"/>
          <w:szCs w:val="22"/>
        </w:rPr>
        <w:t xml:space="preserve">substitutability </w:t>
      </w:r>
      <w:r w:rsidR="009A0B70" w:rsidRPr="0093704C">
        <w:rPr>
          <w:rFonts w:ascii="Verdana" w:hAnsi="Verdana" w:cs="Times New Roman"/>
          <w:sz w:val="22"/>
          <w:szCs w:val="22"/>
        </w:rPr>
        <w:t xml:space="preserve">implied </w:t>
      </w:r>
      <w:r w:rsidRPr="0093704C">
        <w:rPr>
          <w:rFonts w:ascii="Verdana" w:hAnsi="Verdana" w:cs="Times New Roman"/>
          <w:sz w:val="22"/>
          <w:szCs w:val="22"/>
        </w:rPr>
        <w:t>within natural capital and between capital forms</w:t>
      </w:r>
      <w:r w:rsidR="009A0B70" w:rsidRPr="0093704C">
        <w:rPr>
          <w:rFonts w:ascii="Verdana" w:hAnsi="Verdana" w:cs="Times New Roman"/>
          <w:sz w:val="22"/>
          <w:szCs w:val="22"/>
        </w:rPr>
        <w:t xml:space="preserve">.  </w:t>
      </w:r>
      <w:r w:rsidRPr="0093704C">
        <w:rPr>
          <w:rFonts w:ascii="Verdana" w:hAnsi="Verdana" w:cs="Times New Roman"/>
          <w:sz w:val="22"/>
          <w:szCs w:val="22"/>
        </w:rPr>
        <w:t>Jackson and McBride (2005)</w:t>
      </w:r>
      <w:r w:rsidR="009A0B70" w:rsidRPr="0093704C">
        <w:rPr>
          <w:rStyle w:val="FootnoteReference"/>
          <w:rFonts w:ascii="Verdana" w:hAnsi="Verdana" w:cs="Times New Roman"/>
          <w:sz w:val="22"/>
          <w:szCs w:val="22"/>
        </w:rPr>
        <w:footnoteReference w:id="34"/>
      </w:r>
      <w:r w:rsidR="00E63183" w:rsidRPr="0093704C">
        <w:rPr>
          <w:rFonts w:ascii="Verdana" w:hAnsi="Verdana" w:cs="Times New Roman"/>
          <w:sz w:val="22"/>
          <w:szCs w:val="22"/>
        </w:rPr>
        <w:t>, acknowledging</w:t>
      </w:r>
      <w:r w:rsidRPr="0093704C">
        <w:rPr>
          <w:rFonts w:ascii="Verdana" w:hAnsi="Verdana" w:cs="Times New Roman"/>
          <w:sz w:val="22"/>
          <w:szCs w:val="22"/>
        </w:rPr>
        <w:t xml:space="preserve"> weaknesses in the model</w:t>
      </w:r>
      <w:r w:rsidR="00E63183" w:rsidRPr="0093704C">
        <w:rPr>
          <w:rFonts w:ascii="Verdana" w:hAnsi="Verdana" w:cs="Times New Roman"/>
          <w:sz w:val="22"/>
          <w:szCs w:val="22"/>
        </w:rPr>
        <w:t>,</w:t>
      </w:r>
      <w:r w:rsidRPr="0093704C">
        <w:rPr>
          <w:rFonts w:ascii="Verdana" w:hAnsi="Verdana" w:cs="Times New Roman"/>
          <w:sz w:val="22"/>
          <w:szCs w:val="22"/>
        </w:rPr>
        <w:t xml:space="preserve"> suggest a concerted international effort to build a modified accounting framework.  </w:t>
      </w:r>
    </w:p>
    <w:p w14:paraId="0125255B" w14:textId="77777777" w:rsidR="0045389F" w:rsidRPr="0093704C" w:rsidRDefault="0045389F">
      <w:pPr>
        <w:pStyle w:val="ListParagraph"/>
        <w:ind w:left="0"/>
        <w:rPr>
          <w:rFonts w:ascii="Verdana" w:hAnsi="Verdana" w:cs="Times New Roman"/>
          <w:sz w:val="22"/>
          <w:szCs w:val="22"/>
        </w:rPr>
      </w:pPr>
    </w:p>
    <w:p w14:paraId="0916BCAC" w14:textId="5F0A21C7"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4.2</w:t>
      </w:r>
      <w:r w:rsidR="00AB4F16" w:rsidRPr="0093704C">
        <w:rPr>
          <w:rFonts w:ascii="Verdana" w:hAnsi="Verdana" w:cs="Times New Roman"/>
          <w:b/>
          <w:bCs/>
          <w:sz w:val="22"/>
          <w:szCs w:val="22"/>
        </w:rPr>
        <w:tab/>
        <w:t>Sustainability measures</w:t>
      </w:r>
    </w:p>
    <w:p w14:paraId="4850D732" w14:textId="77777777" w:rsidR="0045389F" w:rsidRPr="0093704C" w:rsidRDefault="0045389F">
      <w:pPr>
        <w:pStyle w:val="ListParagraph"/>
        <w:ind w:left="0"/>
        <w:rPr>
          <w:rFonts w:ascii="Verdana" w:hAnsi="Verdana" w:cs="Times New Roman"/>
          <w:b/>
          <w:bCs/>
          <w:sz w:val="22"/>
          <w:szCs w:val="22"/>
        </w:rPr>
      </w:pPr>
    </w:p>
    <w:p w14:paraId="605C6DCB" w14:textId="22BEB5DF"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The Stiglitz report recommended keeping sustainability measures</w:t>
      </w:r>
      <w:r w:rsidR="00E63183" w:rsidRPr="0093704C">
        <w:rPr>
          <w:rFonts w:ascii="Verdana" w:hAnsi="Verdana" w:cs="Times New Roman"/>
          <w:sz w:val="22"/>
          <w:szCs w:val="22"/>
        </w:rPr>
        <w:t>, those that assess the levels of capital stocks on which future wellbeing depends,</w:t>
      </w:r>
      <w:r w:rsidRPr="0093704C">
        <w:rPr>
          <w:rFonts w:ascii="Verdana" w:hAnsi="Verdana" w:cs="Times New Roman"/>
          <w:sz w:val="22"/>
          <w:szCs w:val="22"/>
        </w:rPr>
        <w:t xml:space="preserve"> separate from </w:t>
      </w:r>
      <w:r w:rsidR="00E63183" w:rsidRPr="0093704C">
        <w:rPr>
          <w:rFonts w:ascii="Verdana" w:hAnsi="Verdana" w:cs="Times New Roman"/>
          <w:sz w:val="22"/>
          <w:szCs w:val="22"/>
        </w:rPr>
        <w:t>current</w:t>
      </w:r>
      <w:r w:rsidRPr="0093704C">
        <w:rPr>
          <w:rFonts w:ascii="Verdana" w:hAnsi="Verdana" w:cs="Times New Roman"/>
          <w:sz w:val="22"/>
          <w:szCs w:val="22"/>
        </w:rPr>
        <w:t xml:space="preserve"> wellbeing measures</w:t>
      </w:r>
      <w:r w:rsidR="00914801" w:rsidRPr="0093704C">
        <w:rPr>
          <w:rFonts w:ascii="Verdana" w:hAnsi="Verdana" w:cs="Times New Roman"/>
          <w:sz w:val="22"/>
          <w:szCs w:val="22"/>
        </w:rPr>
        <w:t xml:space="preserve"> to avoid confusion.  To take his analogy, a single number that combined the current speed with the remaining fuel </w:t>
      </w:r>
      <w:r w:rsidR="00453108" w:rsidRPr="0093704C">
        <w:rPr>
          <w:rFonts w:ascii="Verdana" w:hAnsi="Verdana" w:cs="Times New Roman"/>
          <w:sz w:val="22"/>
          <w:szCs w:val="22"/>
        </w:rPr>
        <w:t>of a vehicle would not be of any help to the driver.</w:t>
      </w:r>
    </w:p>
    <w:p w14:paraId="54ECF7FC" w14:textId="77777777" w:rsidR="0045389F" w:rsidRPr="0093704C" w:rsidRDefault="0045389F">
      <w:pPr>
        <w:pStyle w:val="ListParagraph"/>
        <w:ind w:left="0"/>
        <w:rPr>
          <w:rFonts w:ascii="Verdana" w:hAnsi="Verdana" w:cs="Times New Roman"/>
          <w:sz w:val="22"/>
          <w:szCs w:val="22"/>
        </w:rPr>
      </w:pPr>
    </w:p>
    <w:p w14:paraId="5849DF5F" w14:textId="27BC5BBC" w:rsidR="00C91D29"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4.2</w:t>
      </w:r>
      <w:r w:rsidR="00AB4F16" w:rsidRPr="0093704C">
        <w:rPr>
          <w:rFonts w:ascii="Verdana" w:hAnsi="Verdana" w:cs="Times New Roman"/>
          <w:b/>
          <w:bCs/>
          <w:sz w:val="22"/>
          <w:szCs w:val="22"/>
        </w:rPr>
        <w:t>1</w:t>
      </w:r>
      <w:r w:rsidR="00AB4F16" w:rsidRPr="0093704C">
        <w:rPr>
          <w:rFonts w:ascii="Verdana" w:hAnsi="Verdana" w:cs="Times New Roman"/>
          <w:b/>
          <w:bCs/>
          <w:sz w:val="22"/>
          <w:szCs w:val="22"/>
        </w:rPr>
        <w:tab/>
        <w:t>Ecological footprint</w:t>
      </w:r>
    </w:p>
    <w:p w14:paraId="6B4C4794" w14:textId="1CAC309A" w:rsidR="0045389F" w:rsidRPr="0093704C" w:rsidRDefault="00AB4F16" w:rsidP="00BD1689">
      <w:pPr>
        <w:pStyle w:val="ListParagraph"/>
        <w:ind w:left="0"/>
        <w:rPr>
          <w:rFonts w:ascii="Verdana" w:hAnsi="Verdana"/>
          <w:sz w:val="22"/>
          <w:szCs w:val="22"/>
        </w:rPr>
      </w:pPr>
      <w:r w:rsidRPr="0093704C">
        <w:rPr>
          <w:rFonts w:ascii="Verdana" w:hAnsi="Verdana"/>
          <w:sz w:val="22"/>
          <w:szCs w:val="22"/>
        </w:rPr>
        <w:t>The Global Footprint Network, a not-for-profit organisation, compile</w:t>
      </w:r>
      <w:r w:rsidR="004364C6" w:rsidRPr="0093704C">
        <w:rPr>
          <w:rFonts w:ascii="Verdana" w:hAnsi="Verdana"/>
          <w:sz w:val="22"/>
          <w:szCs w:val="22"/>
        </w:rPr>
        <w:t>s</w:t>
      </w:r>
      <w:r w:rsidRPr="0093704C">
        <w:rPr>
          <w:rFonts w:ascii="Verdana" w:hAnsi="Verdana"/>
          <w:sz w:val="22"/>
          <w:szCs w:val="22"/>
        </w:rPr>
        <w:t xml:space="preserve"> national footprint accounts to measure the ecological resource use and resource capacity of nations over time.  It uses yields of primary products (from cropland, forest, grazing land and fisheries) to calculate the area necessary to support a given activity</w:t>
      </w:r>
      <w:r w:rsidRPr="0093704C">
        <w:rPr>
          <w:rFonts w:ascii="Verdana" w:hAnsi="Verdana"/>
          <w:sz w:val="22"/>
          <w:szCs w:val="22"/>
          <w:vertAlign w:val="superscript"/>
        </w:rPr>
        <w:footnoteReference w:id="35"/>
      </w:r>
      <w:r w:rsidRPr="0093704C">
        <w:rPr>
          <w:rFonts w:ascii="Verdana" w:hAnsi="Verdana"/>
          <w:sz w:val="22"/>
          <w:szCs w:val="22"/>
        </w:rPr>
        <w:t xml:space="preserve">. Biocapacity is measured by calculating the amount of biologically productive land and sea area available to provide the resources a population consumes and to absorb its wastes, given current technology and management practices. Ecological Footprint is not a complete measure of environmental pressure but measures one key dimension that contributes to the sustainability or unsustainability of human activities. Based on approximately 6,000 data points per country per year, the accounts calculate the Footprints of 232 countries, territories, and regions from 1961 to the present. </w:t>
      </w:r>
    </w:p>
    <w:p w14:paraId="6862F944" w14:textId="77777777" w:rsidR="0045389F" w:rsidRPr="0093704C" w:rsidRDefault="00AB4F16">
      <w:pPr>
        <w:pStyle w:val="NormalWeb"/>
        <w:rPr>
          <w:rFonts w:ascii="Verdana" w:eastAsia="Cambria" w:hAnsi="Verdana" w:cs="Times New Roman"/>
          <w:sz w:val="22"/>
          <w:szCs w:val="22"/>
        </w:rPr>
      </w:pPr>
      <w:r w:rsidRPr="0093704C">
        <w:rPr>
          <w:rFonts w:ascii="Verdana" w:eastAsia="Cambria" w:hAnsi="Verdana" w:cs="Times New Roman"/>
          <w:sz w:val="22"/>
          <w:szCs w:val="22"/>
        </w:rPr>
        <w:t xml:space="preserve">As one would expect, although claiming to provide the most comprehensive aggregate indicator of human pressure on ecosystems </w:t>
      </w:r>
      <w:r w:rsidRPr="0093704C">
        <w:rPr>
          <w:rFonts w:ascii="Verdana" w:eastAsia="Cambria" w:hAnsi="Verdana" w:cs="Times New Roman"/>
          <w:sz w:val="22"/>
          <w:szCs w:val="22"/>
        </w:rPr>
        <w:lastRenderedPageBreak/>
        <w:t>currently available, the National Footprint Accounts are a work in progress. The limitations of the ecological footprint are discussed in detail on the footprint network website</w:t>
      </w:r>
      <w:r w:rsidR="00E63183" w:rsidRPr="0093704C">
        <w:rPr>
          <w:rFonts w:ascii="Verdana" w:eastAsia="Cambria" w:hAnsi="Verdana" w:cs="Times New Roman"/>
          <w:sz w:val="22"/>
          <w:szCs w:val="22"/>
        </w:rPr>
        <w:t>.</w:t>
      </w:r>
      <w:r w:rsidRPr="0093704C">
        <w:rPr>
          <w:rFonts w:ascii="Verdana" w:eastAsia="Cambria" w:hAnsi="Verdana" w:cs="Times New Roman"/>
          <w:sz w:val="22"/>
          <w:szCs w:val="22"/>
          <w:vertAlign w:val="superscript"/>
        </w:rPr>
        <w:footnoteReference w:id="36"/>
      </w:r>
    </w:p>
    <w:p w14:paraId="14D13E8B" w14:textId="77777777" w:rsidR="004364C6" w:rsidRPr="0093704C" w:rsidRDefault="004364C6">
      <w:pPr>
        <w:pStyle w:val="ListParagraph"/>
        <w:ind w:left="0"/>
        <w:rPr>
          <w:rFonts w:ascii="Verdana" w:hAnsi="Verdana" w:cs="Times New Roman"/>
          <w:b/>
          <w:bCs/>
          <w:sz w:val="22"/>
          <w:szCs w:val="22"/>
        </w:rPr>
      </w:pPr>
    </w:p>
    <w:p w14:paraId="38019353" w14:textId="00181657"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4.2</w:t>
      </w:r>
      <w:r w:rsidR="00AB4F16" w:rsidRPr="0093704C">
        <w:rPr>
          <w:rFonts w:ascii="Verdana" w:hAnsi="Verdana" w:cs="Times New Roman"/>
          <w:b/>
          <w:bCs/>
          <w:sz w:val="22"/>
          <w:szCs w:val="22"/>
        </w:rPr>
        <w:t>2</w:t>
      </w:r>
      <w:r w:rsidR="00AB4F16" w:rsidRPr="0093704C">
        <w:rPr>
          <w:rFonts w:ascii="Verdana" w:hAnsi="Verdana" w:cs="Times New Roman"/>
          <w:b/>
          <w:bCs/>
          <w:sz w:val="22"/>
          <w:szCs w:val="22"/>
        </w:rPr>
        <w:tab/>
        <w:t>The Four Footprints</w:t>
      </w:r>
    </w:p>
    <w:p w14:paraId="2F7DA707"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Friends of the Earth Europe have developed the Four Footprints approach.  This encourages companies, nations, other organisations or individuals to measure their resource use</w:t>
      </w:r>
      <w:r w:rsidRPr="0093704C">
        <w:rPr>
          <w:rFonts w:ascii="Verdana" w:eastAsia="Times New Roman" w:hAnsi="Verdana" w:cs="Times New Roman"/>
          <w:sz w:val="22"/>
          <w:szCs w:val="22"/>
          <w:vertAlign w:val="superscript"/>
        </w:rPr>
        <w:footnoteReference w:id="37"/>
      </w:r>
      <w:r w:rsidRPr="0093704C">
        <w:rPr>
          <w:rFonts w:ascii="Verdana" w:hAnsi="Verdana" w:cs="Times New Roman"/>
          <w:sz w:val="22"/>
          <w:szCs w:val="22"/>
        </w:rPr>
        <w:t>:</w:t>
      </w:r>
    </w:p>
    <w:p w14:paraId="027D8326" w14:textId="77777777" w:rsidR="0045389F" w:rsidRPr="0093704C" w:rsidRDefault="00AB4F16" w:rsidP="0077067E">
      <w:pPr>
        <w:pStyle w:val="ListParagraph"/>
        <w:numPr>
          <w:ilvl w:val="0"/>
          <w:numId w:val="12"/>
        </w:numPr>
        <w:tabs>
          <w:tab w:val="num" w:pos="720"/>
        </w:tabs>
        <w:ind w:hanging="360"/>
        <w:rPr>
          <w:rFonts w:ascii="Verdana" w:hAnsi="Verdana" w:cs="Times New Roman"/>
          <w:sz w:val="22"/>
          <w:szCs w:val="22"/>
        </w:rPr>
      </w:pPr>
      <w:r w:rsidRPr="0093704C">
        <w:rPr>
          <w:rFonts w:ascii="Verdana" w:hAnsi="Verdana" w:cs="Times New Roman"/>
          <w:sz w:val="22"/>
          <w:szCs w:val="22"/>
        </w:rPr>
        <w:t>Land footprint – the real area of land used</w:t>
      </w:r>
    </w:p>
    <w:p w14:paraId="241D06D9" w14:textId="371DAF51" w:rsidR="0045389F" w:rsidRPr="0093704C" w:rsidRDefault="00AB4F16" w:rsidP="0077067E">
      <w:pPr>
        <w:pStyle w:val="ListParagraph"/>
        <w:numPr>
          <w:ilvl w:val="0"/>
          <w:numId w:val="13"/>
        </w:numPr>
        <w:tabs>
          <w:tab w:val="num" w:pos="720"/>
        </w:tabs>
        <w:ind w:hanging="360"/>
        <w:rPr>
          <w:rFonts w:ascii="Verdana" w:hAnsi="Verdana" w:cs="Times New Roman"/>
          <w:sz w:val="22"/>
          <w:szCs w:val="22"/>
        </w:rPr>
      </w:pPr>
      <w:r w:rsidRPr="0093704C">
        <w:rPr>
          <w:rFonts w:ascii="Verdana" w:hAnsi="Verdana" w:cs="Times New Roman"/>
          <w:sz w:val="22"/>
          <w:szCs w:val="22"/>
        </w:rPr>
        <w:t>Carbon footprint – the total amount of c</w:t>
      </w:r>
      <w:r w:rsidR="00453108" w:rsidRPr="0093704C">
        <w:rPr>
          <w:rFonts w:ascii="Verdana" w:hAnsi="Verdana" w:cs="Times New Roman"/>
          <w:sz w:val="22"/>
          <w:szCs w:val="22"/>
        </w:rPr>
        <w:t>limate</w:t>
      </w:r>
      <w:r w:rsidRPr="0093704C">
        <w:rPr>
          <w:rFonts w:ascii="Verdana" w:hAnsi="Verdana" w:cs="Times New Roman"/>
          <w:sz w:val="22"/>
          <w:szCs w:val="22"/>
        </w:rPr>
        <w:t xml:space="preserve"> changing gases released</w:t>
      </w:r>
    </w:p>
    <w:p w14:paraId="089C7599" w14:textId="77777777" w:rsidR="0045389F" w:rsidRPr="0093704C" w:rsidRDefault="00AB4F16" w:rsidP="0077067E">
      <w:pPr>
        <w:pStyle w:val="ListParagraph"/>
        <w:numPr>
          <w:ilvl w:val="0"/>
          <w:numId w:val="14"/>
        </w:numPr>
        <w:tabs>
          <w:tab w:val="num" w:pos="720"/>
        </w:tabs>
        <w:ind w:hanging="360"/>
        <w:rPr>
          <w:rFonts w:ascii="Verdana" w:hAnsi="Verdana" w:cs="Times New Roman"/>
          <w:sz w:val="22"/>
          <w:szCs w:val="22"/>
        </w:rPr>
      </w:pPr>
      <w:r w:rsidRPr="0093704C">
        <w:rPr>
          <w:rFonts w:ascii="Verdana" w:hAnsi="Verdana" w:cs="Times New Roman"/>
          <w:sz w:val="22"/>
          <w:szCs w:val="22"/>
        </w:rPr>
        <w:t>Water footprint – the total volume of water used (or polluted)</w:t>
      </w:r>
    </w:p>
    <w:p w14:paraId="755832FD" w14:textId="77777777" w:rsidR="0045389F" w:rsidRPr="0093704C" w:rsidRDefault="00AB4F16" w:rsidP="0077067E">
      <w:pPr>
        <w:pStyle w:val="ListParagraph"/>
        <w:numPr>
          <w:ilvl w:val="0"/>
          <w:numId w:val="15"/>
        </w:numPr>
        <w:tabs>
          <w:tab w:val="num" w:pos="720"/>
        </w:tabs>
        <w:ind w:hanging="360"/>
        <w:rPr>
          <w:rFonts w:ascii="Verdana" w:hAnsi="Verdana" w:cs="Times New Roman"/>
          <w:sz w:val="22"/>
          <w:szCs w:val="22"/>
        </w:rPr>
      </w:pPr>
      <w:r w:rsidRPr="0093704C">
        <w:rPr>
          <w:rFonts w:ascii="Verdana" w:hAnsi="Verdana" w:cs="Times New Roman"/>
          <w:sz w:val="22"/>
          <w:szCs w:val="22"/>
        </w:rPr>
        <w:t>Material footprint – the tonnage of materials used</w:t>
      </w:r>
    </w:p>
    <w:p w14:paraId="53A90DE4"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Further work is needed to harmonise methodologies and improve data coverage and quality.</w:t>
      </w:r>
    </w:p>
    <w:p w14:paraId="1786D8F2" w14:textId="77777777" w:rsidR="0045389F" w:rsidRPr="0093704C" w:rsidRDefault="0045389F">
      <w:pPr>
        <w:pStyle w:val="ListParagraph"/>
        <w:ind w:left="0"/>
        <w:rPr>
          <w:rFonts w:ascii="Verdana" w:hAnsi="Verdana" w:cs="Times New Roman"/>
          <w:sz w:val="22"/>
          <w:szCs w:val="22"/>
        </w:rPr>
      </w:pPr>
    </w:p>
    <w:p w14:paraId="2B3D6BB8" w14:textId="08DB9A9C"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4.2</w:t>
      </w:r>
      <w:r w:rsidR="00AB4F16" w:rsidRPr="0093704C">
        <w:rPr>
          <w:rFonts w:ascii="Verdana" w:hAnsi="Verdana" w:cs="Times New Roman"/>
          <w:b/>
          <w:bCs/>
          <w:sz w:val="22"/>
          <w:szCs w:val="22"/>
        </w:rPr>
        <w:t>3</w:t>
      </w:r>
      <w:r w:rsidR="00AB4F16" w:rsidRPr="0093704C">
        <w:rPr>
          <w:rFonts w:ascii="Verdana" w:hAnsi="Verdana" w:cs="Times New Roman"/>
          <w:b/>
          <w:bCs/>
          <w:sz w:val="22"/>
          <w:szCs w:val="22"/>
        </w:rPr>
        <w:tab/>
        <w:t>Natural Capital Asset index (NCA)</w:t>
      </w:r>
    </w:p>
    <w:p w14:paraId="6E5A4756" w14:textId="6BC70E2A"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Scottish Natural Heritage produces the Natural Capital Index based on annual assessments of the status of Scotland’s ecosystems.  ‘</w:t>
      </w:r>
      <w:r w:rsidRPr="0093704C">
        <w:rPr>
          <w:rFonts w:ascii="Verdana" w:hAnsi="Verdana" w:cs="Times New Roman"/>
          <w:i/>
          <w:iCs/>
          <w:sz w:val="22"/>
          <w:szCs w:val="22"/>
        </w:rPr>
        <w:t>Scotland is the first country to publish such a detailed attempt to measure annual changes in its natural capital based on an evaluation of ecosystem service potential</w:t>
      </w:r>
      <w:r w:rsidRPr="0093704C">
        <w:rPr>
          <w:rFonts w:ascii="Verdana" w:hAnsi="Verdana" w:cs="Times New Roman"/>
          <w:sz w:val="22"/>
          <w:szCs w:val="22"/>
        </w:rPr>
        <w:t>’</w:t>
      </w:r>
      <w:r w:rsidRPr="0093704C">
        <w:rPr>
          <w:rFonts w:ascii="Verdana" w:eastAsia="Times New Roman" w:hAnsi="Verdana" w:cs="Times New Roman"/>
          <w:sz w:val="22"/>
          <w:szCs w:val="22"/>
          <w:vertAlign w:val="superscript"/>
        </w:rPr>
        <w:footnoteReference w:id="38"/>
      </w:r>
      <w:r w:rsidRPr="0093704C">
        <w:rPr>
          <w:rFonts w:ascii="Verdana" w:hAnsi="Verdana" w:cs="Times New Roman"/>
          <w:sz w:val="22"/>
          <w:szCs w:val="22"/>
        </w:rPr>
        <w:t>.  Natural Capital is defined as the stock of natural systems which yields a flow of valuable services into the future.</w:t>
      </w:r>
    </w:p>
    <w:p w14:paraId="186F91C0" w14:textId="77777777" w:rsidR="0045389F" w:rsidRPr="0093704C" w:rsidRDefault="0045389F">
      <w:pPr>
        <w:pStyle w:val="ListParagraph"/>
        <w:ind w:left="0"/>
        <w:rPr>
          <w:rFonts w:ascii="Verdana" w:hAnsi="Verdana" w:cs="Times New Roman"/>
          <w:sz w:val="22"/>
          <w:szCs w:val="22"/>
        </w:rPr>
      </w:pPr>
    </w:p>
    <w:p w14:paraId="0B372E9F"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Ecosystem area is multiplied by ecosystem quality for 7 ecosystems:</w:t>
      </w:r>
    </w:p>
    <w:p w14:paraId="5F044242" w14:textId="338EA7E5"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Coast, Freshwater, Cropland, Woodland, Green</w:t>
      </w:r>
      <w:r w:rsidR="00453108" w:rsidRPr="0093704C">
        <w:rPr>
          <w:rFonts w:ascii="Verdana" w:hAnsi="Verdana" w:cs="Times New Roman"/>
          <w:sz w:val="22"/>
          <w:szCs w:val="22"/>
        </w:rPr>
        <w:t>-</w:t>
      </w:r>
      <w:r w:rsidRPr="0093704C">
        <w:rPr>
          <w:rFonts w:ascii="Verdana" w:hAnsi="Verdana" w:cs="Times New Roman"/>
          <w:sz w:val="22"/>
          <w:szCs w:val="22"/>
        </w:rPr>
        <w:t>space, Grassland, Moorland.  These broad habitat definitions are consistent with those used for the UK National Ecosystem Assessment, which has informed the NCA.  For the overall index, the individual habitat indices are combined with an ecosystem service weighting attached to each.  Analysis shows that, between 2000 and 2010, there was an improvement in woodland, freshwater, coast and urban green</w:t>
      </w:r>
      <w:r w:rsidR="00453108" w:rsidRPr="0093704C">
        <w:rPr>
          <w:rFonts w:ascii="Verdana" w:hAnsi="Verdana" w:cs="Times New Roman"/>
          <w:sz w:val="22"/>
          <w:szCs w:val="22"/>
        </w:rPr>
        <w:t>-</w:t>
      </w:r>
      <w:r w:rsidRPr="0093704C">
        <w:rPr>
          <w:rFonts w:ascii="Verdana" w:hAnsi="Verdana" w:cs="Times New Roman"/>
          <w:sz w:val="22"/>
          <w:szCs w:val="22"/>
        </w:rPr>
        <w:t>space, whilst moorland, grassland and cropland declined.</w:t>
      </w:r>
    </w:p>
    <w:p w14:paraId="416EB62B" w14:textId="77777777" w:rsidR="0045389F" w:rsidRPr="0093704C" w:rsidRDefault="0045389F">
      <w:pPr>
        <w:pStyle w:val="ListParagraph"/>
        <w:ind w:left="0"/>
        <w:rPr>
          <w:rFonts w:ascii="Verdana" w:hAnsi="Verdana" w:cs="Times New Roman"/>
          <w:sz w:val="22"/>
          <w:szCs w:val="22"/>
        </w:rPr>
      </w:pPr>
    </w:p>
    <w:p w14:paraId="4F4F6171" w14:textId="4E7743A3" w:rsidR="0045389F" w:rsidRPr="0093704C" w:rsidRDefault="003442B7">
      <w:pPr>
        <w:pStyle w:val="Body"/>
        <w:rPr>
          <w:rFonts w:ascii="Verdana" w:hAnsi="Verdana" w:cs="Times New Roman"/>
          <w:b/>
          <w:bCs/>
          <w:sz w:val="22"/>
          <w:szCs w:val="22"/>
        </w:rPr>
      </w:pPr>
      <w:r w:rsidRPr="0093704C">
        <w:rPr>
          <w:rFonts w:ascii="Verdana" w:hAnsi="Verdana" w:cs="Times New Roman"/>
          <w:b/>
          <w:bCs/>
          <w:sz w:val="22"/>
          <w:szCs w:val="22"/>
        </w:rPr>
        <w:t>4.2</w:t>
      </w:r>
      <w:r w:rsidR="00AB4F16" w:rsidRPr="0093704C">
        <w:rPr>
          <w:rFonts w:ascii="Verdana" w:hAnsi="Verdana" w:cs="Times New Roman"/>
          <w:b/>
          <w:bCs/>
          <w:sz w:val="22"/>
          <w:szCs w:val="22"/>
        </w:rPr>
        <w:t>4</w:t>
      </w:r>
      <w:r w:rsidR="00AB4F16" w:rsidRPr="0093704C">
        <w:rPr>
          <w:rFonts w:ascii="Verdana" w:hAnsi="Verdana" w:cs="Times New Roman"/>
          <w:b/>
          <w:bCs/>
          <w:sz w:val="22"/>
          <w:szCs w:val="22"/>
        </w:rPr>
        <w:tab/>
        <w:t>Environmental Performance Index</w:t>
      </w:r>
      <w:r w:rsidR="00AB4F16" w:rsidRPr="0093704C">
        <w:rPr>
          <w:rFonts w:ascii="Verdana" w:hAnsi="Verdana" w:cs="Times New Roman"/>
          <w:b/>
          <w:bCs/>
          <w:sz w:val="22"/>
          <w:szCs w:val="22"/>
          <w:vertAlign w:val="superscript"/>
        </w:rPr>
        <w:footnoteReference w:id="39"/>
      </w:r>
    </w:p>
    <w:p w14:paraId="335A1361" w14:textId="77777777"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 xml:space="preserve">The Environmental Performance Index (EPI), Yale University, is constructed through the calculation and aggregation of 20 indicators using national-level environmental data. These indicators are combined into nine issue categories, each of which fit under one of two overarching objectives: Environmental Health and Ecosystem Vitality. Environmental Health measures the protection of human health from environmental harm. Ecosystem Vitality measures ecosystem protection and resource management. </w:t>
      </w:r>
    </w:p>
    <w:p w14:paraId="21A63639" w14:textId="77777777" w:rsidR="0045389F" w:rsidRPr="0093704C" w:rsidRDefault="00AB4F16">
      <w:pPr>
        <w:pStyle w:val="NormalWeb"/>
        <w:rPr>
          <w:rFonts w:ascii="Verdana" w:eastAsia="Cambria" w:hAnsi="Verdana" w:cs="Times New Roman"/>
          <w:sz w:val="22"/>
          <w:szCs w:val="22"/>
        </w:rPr>
      </w:pPr>
      <w:r w:rsidRPr="0093704C">
        <w:rPr>
          <w:rFonts w:ascii="Verdana" w:eastAsia="Cambria" w:hAnsi="Verdana" w:cs="Times New Roman"/>
          <w:sz w:val="22"/>
          <w:szCs w:val="22"/>
        </w:rPr>
        <w:t xml:space="preserve">The issue categories are extensive but not comprehensive.  After more than 15 years of work on environmental performance measurement and six iterations of the EPI, global data are still lacking on a number of key </w:t>
      </w:r>
      <w:r w:rsidRPr="0093704C">
        <w:rPr>
          <w:rFonts w:ascii="Verdana" w:eastAsia="Cambria" w:hAnsi="Verdana" w:cs="Times New Roman"/>
          <w:sz w:val="22"/>
          <w:szCs w:val="22"/>
        </w:rPr>
        <w:lastRenderedPageBreak/>
        <w:t>environmental issues. These include: freshwater quality, toxic chemical exposures; municipal solid waste management; nuclear safety; wetlands loss; agricultural soil quality and degradation; recycling rates; adaptation, vulnerability, and resiliency to climate change; and desertification.</w:t>
      </w:r>
    </w:p>
    <w:p w14:paraId="007AF537" w14:textId="77777777" w:rsidR="0045389F" w:rsidRPr="0093704C" w:rsidRDefault="0045389F">
      <w:pPr>
        <w:pStyle w:val="Body"/>
        <w:rPr>
          <w:rFonts w:ascii="Verdana" w:hAnsi="Verdana" w:cs="Times New Roman"/>
          <w:sz w:val="22"/>
          <w:szCs w:val="22"/>
        </w:rPr>
      </w:pPr>
    </w:p>
    <w:p w14:paraId="081DDD8E" w14:textId="28186FE9" w:rsidR="0045389F" w:rsidRPr="0093704C" w:rsidRDefault="003442B7">
      <w:pPr>
        <w:pStyle w:val="Body"/>
        <w:rPr>
          <w:rFonts w:ascii="Verdana" w:hAnsi="Verdana" w:cs="Times New Roman"/>
          <w:sz w:val="22"/>
          <w:szCs w:val="22"/>
        </w:rPr>
      </w:pPr>
      <w:r w:rsidRPr="0093704C">
        <w:rPr>
          <w:rFonts w:ascii="Verdana" w:hAnsi="Verdana" w:cs="Times New Roman"/>
          <w:b/>
          <w:bCs/>
          <w:sz w:val="22"/>
          <w:szCs w:val="22"/>
        </w:rPr>
        <w:t>4.2</w:t>
      </w:r>
      <w:r w:rsidR="00C91D29" w:rsidRPr="0093704C">
        <w:rPr>
          <w:rFonts w:ascii="Verdana" w:hAnsi="Verdana" w:cs="Times New Roman"/>
          <w:b/>
          <w:bCs/>
          <w:sz w:val="22"/>
          <w:szCs w:val="22"/>
        </w:rPr>
        <w:t>5</w:t>
      </w:r>
      <w:r w:rsidR="00AB4F16" w:rsidRPr="0093704C">
        <w:rPr>
          <w:rFonts w:ascii="Verdana" w:hAnsi="Verdana" w:cs="Times New Roman"/>
          <w:b/>
          <w:bCs/>
          <w:sz w:val="22"/>
          <w:szCs w:val="22"/>
        </w:rPr>
        <w:tab/>
        <w:t>Ecological Rucksack</w:t>
      </w:r>
    </w:p>
    <w:p w14:paraId="7CC94841" w14:textId="66FED560"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 xml:space="preserve">Developed by the Wuppertal Institute for Climate, Environment and Energy, the </w:t>
      </w:r>
      <w:r w:rsidR="00453108" w:rsidRPr="0093704C">
        <w:rPr>
          <w:rFonts w:ascii="Verdana" w:hAnsi="Verdana" w:cs="Times New Roman"/>
          <w:sz w:val="22"/>
          <w:szCs w:val="22"/>
        </w:rPr>
        <w:t>E</w:t>
      </w:r>
      <w:r w:rsidRPr="0093704C">
        <w:rPr>
          <w:rFonts w:ascii="Verdana" w:hAnsi="Verdana" w:cs="Times New Roman"/>
          <w:sz w:val="22"/>
          <w:szCs w:val="22"/>
        </w:rPr>
        <w:t xml:space="preserve">cological </w:t>
      </w:r>
      <w:r w:rsidR="00453108" w:rsidRPr="0093704C">
        <w:rPr>
          <w:rFonts w:ascii="Verdana" w:hAnsi="Verdana" w:cs="Times New Roman"/>
          <w:sz w:val="22"/>
          <w:szCs w:val="22"/>
        </w:rPr>
        <w:t>R</w:t>
      </w:r>
      <w:r w:rsidRPr="0093704C">
        <w:rPr>
          <w:rFonts w:ascii="Verdana" w:hAnsi="Verdana" w:cs="Times New Roman"/>
          <w:sz w:val="22"/>
          <w:szCs w:val="22"/>
        </w:rPr>
        <w:t>ucksack describes the resource requirement of producing products and offering services. Five different rucksacks have been delineated to describe the overall natural resource intensity of products. These correspond to the five environmental spheres of: water, air, soil, renewable biomass and non-renewable materials. The concept has been developed into a ‘Material Input per Service Unit’ concept to estimate the environmental impacts caused by a product or service.</w:t>
      </w:r>
    </w:p>
    <w:p w14:paraId="50E5EFBE" w14:textId="77777777" w:rsidR="0045389F" w:rsidRPr="0093704C" w:rsidRDefault="0045389F">
      <w:pPr>
        <w:pStyle w:val="ListParagraph"/>
        <w:ind w:left="0"/>
        <w:rPr>
          <w:rFonts w:ascii="Verdana" w:hAnsi="Verdana" w:cs="Times New Roman"/>
          <w:sz w:val="22"/>
          <w:szCs w:val="22"/>
        </w:rPr>
      </w:pPr>
    </w:p>
    <w:p w14:paraId="202B3380" w14:textId="77777777" w:rsidR="0045389F" w:rsidRPr="0093704C" w:rsidRDefault="0045389F">
      <w:pPr>
        <w:pStyle w:val="ListParagraph"/>
        <w:ind w:left="0"/>
        <w:rPr>
          <w:rFonts w:ascii="Verdana" w:hAnsi="Verdana" w:cs="Times New Roman"/>
          <w:sz w:val="22"/>
          <w:szCs w:val="22"/>
        </w:rPr>
      </w:pPr>
    </w:p>
    <w:p w14:paraId="3463896C" w14:textId="594CA9DA" w:rsidR="0045389F"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t>4.3</w:t>
      </w:r>
      <w:r w:rsidR="00AB4F16" w:rsidRPr="0093704C">
        <w:rPr>
          <w:rFonts w:ascii="Verdana" w:hAnsi="Verdana" w:cs="Times New Roman"/>
          <w:b/>
          <w:bCs/>
          <w:sz w:val="22"/>
          <w:szCs w:val="22"/>
        </w:rPr>
        <w:tab/>
        <w:t xml:space="preserve">Frameworks </w:t>
      </w:r>
    </w:p>
    <w:p w14:paraId="36C6F8A2" w14:textId="77777777" w:rsidR="00C91D29" w:rsidRPr="0093704C" w:rsidRDefault="00C91D29">
      <w:pPr>
        <w:pStyle w:val="ListParagraph"/>
        <w:ind w:left="0"/>
        <w:rPr>
          <w:rFonts w:ascii="Verdana" w:hAnsi="Verdana" w:cs="Times New Roman"/>
          <w:sz w:val="22"/>
          <w:szCs w:val="22"/>
        </w:rPr>
      </w:pPr>
    </w:p>
    <w:p w14:paraId="699BB87E" w14:textId="6D1CF233"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As outlined, each of these approaches is different, </w:t>
      </w:r>
      <w:r w:rsidR="00AD71EE" w:rsidRPr="0093704C">
        <w:rPr>
          <w:rFonts w:ascii="Verdana" w:hAnsi="Verdana" w:cs="Times New Roman"/>
          <w:sz w:val="22"/>
          <w:szCs w:val="22"/>
        </w:rPr>
        <w:t>assessing</w:t>
      </w:r>
      <w:r w:rsidRPr="0093704C">
        <w:rPr>
          <w:rFonts w:ascii="Verdana" w:hAnsi="Verdana" w:cs="Times New Roman"/>
          <w:sz w:val="22"/>
          <w:szCs w:val="22"/>
        </w:rPr>
        <w:t xml:space="preserve"> </w:t>
      </w:r>
      <w:r w:rsidR="007E696B" w:rsidRPr="0093704C">
        <w:rPr>
          <w:rFonts w:ascii="Verdana" w:hAnsi="Verdana" w:cs="Times New Roman"/>
          <w:sz w:val="22"/>
          <w:szCs w:val="22"/>
        </w:rPr>
        <w:t xml:space="preserve">and presenting </w:t>
      </w:r>
      <w:r w:rsidRPr="0093704C">
        <w:rPr>
          <w:rFonts w:ascii="Verdana" w:hAnsi="Verdana" w:cs="Times New Roman"/>
          <w:sz w:val="22"/>
          <w:szCs w:val="22"/>
        </w:rPr>
        <w:t>different aspects of wellbeing in various ways.  They have strengths and weaknesses and none alone provide an adequate framework to guide policy.  How can we combine these to provide all the guidance needed to successfully guide and evaluate government activity and policy.</w:t>
      </w:r>
    </w:p>
    <w:p w14:paraId="1601A5D3" w14:textId="77777777" w:rsidR="0045389F" w:rsidRPr="0093704C" w:rsidRDefault="0045389F">
      <w:pPr>
        <w:pStyle w:val="ListParagraph"/>
        <w:ind w:left="0"/>
        <w:rPr>
          <w:rFonts w:ascii="Verdana" w:hAnsi="Verdana" w:cs="Times New Roman"/>
          <w:sz w:val="22"/>
          <w:szCs w:val="22"/>
        </w:rPr>
      </w:pPr>
    </w:p>
    <w:p w14:paraId="58434048" w14:textId="642B06CF" w:rsidR="0045389F" w:rsidRPr="0093704C" w:rsidRDefault="003442B7" w:rsidP="00950E2A">
      <w:pPr>
        <w:pStyle w:val="ListParagraph"/>
        <w:ind w:left="567" w:hanging="567"/>
        <w:rPr>
          <w:rFonts w:ascii="Verdana" w:hAnsi="Verdana" w:cs="Times New Roman"/>
          <w:b/>
          <w:bCs/>
          <w:sz w:val="22"/>
          <w:szCs w:val="22"/>
        </w:rPr>
      </w:pPr>
      <w:r w:rsidRPr="0093704C">
        <w:rPr>
          <w:rFonts w:ascii="Verdana" w:hAnsi="Verdana" w:cs="Times New Roman"/>
          <w:b/>
          <w:bCs/>
          <w:sz w:val="22"/>
          <w:szCs w:val="22"/>
        </w:rPr>
        <w:t>4.31</w:t>
      </w:r>
      <w:r w:rsidR="00AB4F16" w:rsidRPr="0093704C">
        <w:rPr>
          <w:rFonts w:ascii="Verdana" w:hAnsi="Verdana" w:cs="Times New Roman"/>
          <w:b/>
          <w:bCs/>
          <w:sz w:val="22"/>
          <w:szCs w:val="22"/>
        </w:rPr>
        <w:tab/>
      </w:r>
      <w:r w:rsidR="00A93C8A" w:rsidRPr="0093704C">
        <w:rPr>
          <w:rFonts w:ascii="Verdana" w:hAnsi="Verdana" w:cs="Times New Roman"/>
          <w:b/>
          <w:bCs/>
          <w:sz w:val="22"/>
          <w:szCs w:val="22"/>
        </w:rPr>
        <w:t>Joint Task Force on Measuring Sustainable Development</w:t>
      </w:r>
      <w:r w:rsidR="0055526B" w:rsidRPr="0093704C">
        <w:rPr>
          <w:rFonts w:ascii="Verdana" w:hAnsi="Verdana" w:cs="Times New Roman"/>
          <w:b/>
          <w:bCs/>
          <w:sz w:val="22"/>
          <w:szCs w:val="22"/>
        </w:rPr>
        <w:t xml:space="preserve"> (TFSD)</w:t>
      </w:r>
    </w:p>
    <w:p w14:paraId="080BA3AA" w14:textId="14B11C3F" w:rsidR="00A93C8A" w:rsidRPr="0093704C" w:rsidRDefault="00A93C8A">
      <w:pPr>
        <w:pStyle w:val="ListParagraph"/>
        <w:ind w:left="0"/>
        <w:rPr>
          <w:rFonts w:ascii="Verdana" w:hAnsi="Verdana" w:cs="Times New Roman"/>
          <w:sz w:val="22"/>
          <w:szCs w:val="22"/>
        </w:rPr>
      </w:pPr>
      <w:r w:rsidRPr="0093704C">
        <w:rPr>
          <w:rFonts w:ascii="Verdana" w:hAnsi="Verdana" w:cs="Times New Roman"/>
          <w:sz w:val="22"/>
          <w:szCs w:val="22"/>
        </w:rPr>
        <w:t>The Joint UNECE/Eurostat/OECD Task Force on Measuring Sustainable Development published its Framework and suggested indicators to measure sustainable development in May 2013</w:t>
      </w:r>
      <w:r w:rsidRPr="0093704C">
        <w:rPr>
          <w:rStyle w:val="FootnoteReference"/>
          <w:rFonts w:ascii="Verdana" w:hAnsi="Verdana" w:cs="Times New Roman"/>
          <w:sz w:val="22"/>
          <w:szCs w:val="22"/>
        </w:rPr>
        <w:footnoteReference w:id="40"/>
      </w:r>
      <w:r w:rsidRPr="0093704C">
        <w:rPr>
          <w:rFonts w:ascii="Verdana" w:hAnsi="Verdana" w:cs="Times New Roman"/>
          <w:sz w:val="22"/>
          <w:szCs w:val="22"/>
        </w:rPr>
        <w:t xml:space="preserve">.  It aims to harmonise the different ways in which sustainable development has been measured and provide a list of potential indicators based on a sound conceptual framework.  </w:t>
      </w:r>
      <w:r w:rsidR="0055526B" w:rsidRPr="0093704C">
        <w:rPr>
          <w:rFonts w:ascii="Verdana" w:hAnsi="Verdana" w:cs="Times New Roman"/>
          <w:sz w:val="22"/>
          <w:szCs w:val="22"/>
        </w:rPr>
        <w:t>Based on the Bruntland definition of sustainable development, a</w:t>
      </w:r>
      <w:r w:rsidRPr="0093704C">
        <w:rPr>
          <w:rFonts w:ascii="Verdana" w:hAnsi="Verdana" w:cs="Times New Roman"/>
          <w:sz w:val="22"/>
          <w:szCs w:val="22"/>
        </w:rPr>
        <w:t xml:space="preserve"> distinction is made between the three conceptual dimensions of human wellbeing: the wellbeing of people living here and now; the wellbeing of people living in the future; and the wellbeing of people living in other countries.  </w:t>
      </w:r>
      <w:r w:rsidR="0055526B" w:rsidRPr="0093704C">
        <w:rPr>
          <w:rFonts w:ascii="Verdana" w:hAnsi="Verdana" w:cs="Times New Roman"/>
          <w:sz w:val="22"/>
          <w:szCs w:val="22"/>
        </w:rPr>
        <w:t xml:space="preserve">The </w:t>
      </w:r>
      <w:r w:rsidR="007A6CA8" w:rsidRPr="0093704C">
        <w:rPr>
          <w:rFonts w:ascii="Verdana" w:hAnsi="Verdana" w:cs="Times New Roman"/>
          <w:sz w:val="22"/>
          <w:szCs w:val="22"/>
        </w:rPr>
        <w:t>TFSD suggest three indicator sets.  The two larger indicator sets represent two ways of structuring SD indicators</w:t>
      </w:r>
      <w:r w:rsidR="004B2631" w:rsidRPr="0093704C">
        <w:rPr>
          <w:rFonts w:ascii="Verdana" w:hAnsi="Verdana" w:cs="Times New Roman"/>
          <w:sz w:val="22"/>
          <w:szCs w:val="22"/>
        </w:rPr>
        <w:t xml:space="preserve"> – a conceptual categorization (here and now, later, and elsewhere) and a thematic categorization (e.g. education).  The </w:t>
      </w:r>
      <w:r w:rsidR="00B065AB" w:rsidRPr="0093704C">
        <w:rPr>
          <w:rFonts w:ascii="Verdana" w:hAnsi="Verdana" w:cs="Times New Roman"/>
          <w:sz w:val="22"/>
          <w:szCs w:val="22"/>
        </w:rPr>
        <w:t xml:space="preserve">third indicator is </w:t>
      </w:r>
      <w:r w:rsidR="004B2631" w:rsidRPr="0093704C">
        <w:rPr>
          <w:rFonts w:ascii="Verdana" w:hAnsi="Verdana" w:cs="Times New Roman"/>
          <w:sz w:val="22"/>
          <w:szCs w:val="22"/>
        </w:rPr>
        <w:t xml:space="preserve">smaller, with 24 indicators, </w:t>
      </w:r>
      <w:r w:rsidR="00B065AB" w:rsidRPr="0093704C">
        <w:rPr>
          <w:rFonts w:ascii="Verdana" w:hAnsi="Verdana" w:cs="Times New Roman"/>
          <w:sz w:val="22"/>
          <w:szCs w:val="22"/>
        </w:rPr>
        <w:t xml:space="preserve">and </w:t>
      </w:r>
      <w:r w:rsidR="008614A5" w:rsidRPr="0093704C">
        <w:rPr>
          <w:rFonts w:ascii="Verdana" w:hAnsi="Verdana" w:cs="Times New Roman"/>
          <w:sz w:val="22"/>
          <w:szCs w:val="22"/>
        </w:rPr>
        <w:t xml:space="preserve">is proposed as a more </w:t>
      </w:r>
      <w:r w:rsidR="0055526B" w:rsidRPr="0093704C">
        <w:rPr>
          <w:rFonts w:ascii="Verdana" w:hAnsi="Verdana" w:cs="Times New Roman"/>
          <w:sz w:val="22"/>
          <w:szCs w:val="22"/>
        </w:rPr>
        <w:t>concise</w:t>
      </w:r>
      <w:r w:rsidR="008614A5" w:rsidRPr="0093704C">
        <w:rPr>
          <w:rFonts w:ascii="Verdana" w:hAnsi="Verdana" w:cs="Times New Roman"/>
          <w:sz w:val="22"/>
          <w:szCs w:val="22"/>
        </w:rPr>
        <w:t xml:space="preserve"> way to communicate</w:t>
      </w:r>
      <w:r w:rsidR="0055526B" w:rsidRPr="0093704C">
        <w:rPr>
          <w:rFonts w:ascii="Verdana" w:hAnsi="Verdana" w:cs="Times New Roman"/>
          <w:sz w:val="22"/>
          <w:szCs w:val="22"/>
        </w:rPr>
        <w:t xml:space="preserve"> with policy makers or the public.</w:t>
      </w:r>
    </w:p>
    <w:p w14:paraId="419266DC" w14:textId="77777777" w:rsidR="00A93C8A" w:rsidRDefault="00A93C8A">
      <w:pPr>
        <w:pStyle w:val="ListParagraph"/>
        <w:ind w:left="0"/>
        <w:rPr>
          <w:rFonts w:ascii="Verdana" w:hAnsi="Verdana" w:cs="Times New Roman"/>
          <w:b/>
          <w:bCs/>
          <w:sz w:val="22"/>
          <w:szCs w:val="22"/>
        </w:rPr>
      </w:pPr>
    </w:p>
    <w:p w14:paraId="18A083EF" w14:textId="77777777" w:rsidR="00950E2A" w:rsidRDefault="00950E2A">
      <w:pPr>
        <w:pStyle w:val="ListParagraph"/>
        <w:ind w:left="0"/>
        <w:rPr>
          <w:rFonts w:ascii="Verdana" w:hAnsi="Verdana" w:cs="Times New Roman"/>
          <w:b/>
          <w:bCs/>
          <w:sz w:val="22"/>
          <w:szCs w:val="22"/>
        </w:rPr>
      </w:pPr>
    </w:p>
    <w:p w14:paraId="60F21860" w14:textId="77777777" w:rsidR="00950E2A" w:rsidRDefault="00950E2A">
      <w:pPr>
        <w:pStyle w:val="ListParagraph"/>
        <w:ind w:left="0"/>
        <w:rPr>
          <w:rFonts w:ascii="Verdana" w:hAnsi="Verdana" w:cs="Times New Roman"/>
          <w:b/>
          <w:bCs/>
          <w:sz w:val="22"/>
          <w:szCs w:val="22"/>
        </w:rPr>
      </w:pPr>
    </w:p>
    <w:p w14:paraId="429E0FB0" w14:textId="77777777" w:rsidR="00950E2A" w:rsidRPr="0093704C" w:rsidRDefault="00950E2A">
      <w:pPr>
        <w:pStyle w:val="ListParagraph"/>
        <w:ind w:left="0"/>
        <w:rPr>
          <w:rFonts w:ascii="Verdana" w:hAnsi="Verdana" w:cs="Times New Roman"/>
          <w:b/>
          <w:bCs/>
          <w:sz w:val="22"/>
          <w:szCs w:val="22"/>
        </w:rPr>
      </w:pPr>
    </w:p>
    <w:p w14:paraId="2880D5F0" w14:textId="77777777" w:rsidR="00A93C8A" w:rsidRPr="0093704C" w:rsidRDefault="00A93C8A">
      <w:pPr>
        <w:pStyle w:val="ListParagraph"/>
        <w:ind w:left="0"/>
        <w:rPr>
          <w:rFonts w:ascii="Verdana" w:hAnsi="Verdana" w:cs="Times New Roman"/>
          <w:b/>
          <w:bCs/>
          <w:sz w:val="22"/>
          <w:szCs w:val="22"/>
        </w:rPr>
      </w:pPr>
    </w:p>
    <w:p w14:paraId="1B153889" w14:textId="77777777" w:rsidR="008614A5" w:rsidRPr="0093704C" w:rsidRDefault="003442B7">
      <w:pPr>
        <w:pStyle w:val="ListParagraph"/>
        <w:ind w:left="0"/>
        <w:rPr>
          <w:rFonts w:ascii="Verdana" w:hAnsi="Verdana" w:cs="Times New Roman"/>
          <w:b/>
          <w:bCs/>
          <w:sz w:val="22"/>
          <w:szCs w:val="22"/>
        </w:rPr>
      </w:pPr>
      <w:r w:rsidRPr="0093704C">
        <w:rPr>
          <w:rFonts w:ascii="Verdana" w:hAnsi="Verdana" w:cs="Times New Roman"/>
          <w:b/>
          <w:bCs/>
          <w:sz w:val="22"/>
          <w:szCs w:val="22"/>
        </w:rPr>
        <w:lastRenderedPageBreak/>
        <w:t>4.3</w:t>
      </w:r>
      <w:r w:rsidR="00AB4F16" w:rsidRPr="0093704C">
        <w:rPr>
          <w:rFonts w:ascii="Verdana" w:hAnsi="Verdana" w:cs="Times New Roman"/>
          <w:b/>
          <w:bCs/>
          <w:sz w:val="22"/>
          <w:szCs w:val="22"/>
        </w:rPr>
        <w:t>2</w:t>
      </w:r>
      <w:r w:rsidR="00AB4F16" w:rsidRPr="0093704C">
        <w:rPr>
          <w:rFonts w:ascii="Verdana" w:hAnsi="Verdana" w:cs="Times New Roman"/>
          <w:b/>
          <w:bCs/>
          <w:sz w:val="22"/>
          <w:szCs w:val="22"/>
        </w:rPr>
        <w:tab/>
      </w:r>
      <w:r w:rsidR="00E84ACE" w:rsidRPr="0093704C">
        <w:rPr>
          <w:rFonts w:ascii="Verdana" w:hAnsi="Verdana" w:cs="Times New Roman"/>
          <w:b/>
          <w:bCs/>
          <w:sz w:val="22"/>
          <w:szCs w:val="22"/>
        </w:rPr>
        <w:t>NEF model</w:t>
      </w:r>
    </w:p>
    <w:p w14:paraId="50006B9E" w14:textId="35A9E1CA" w:rsidR="0045389F" w:rsidRPr="0093704C" w:rsidRDefault="00AB4F16">
      <w:pPr>
        <w:pStyle w:val="ListParagraph"/>
        <w:ind w:left="0"/>
        <w:rPr>
          <w:rFonts w:ascii="Verdana" w:hAnsi="Verdana" w:cs="Times New Roman"/>
          <w:b/>
          <w:bCs/>
          <w:sz w:val="22"/>
          <w:szCs w:val="22"/>
        </w:rPr>
      </w:pPr>
      <w:r w:rsidRPr="0093704C">
        <w:rPr>
          <w:rFonts w:ascii="Verdana" w:hAnsi="Verdana" w:cs="Times New Roman"/>
          <w:sz w:val="22"/>
          <w:szCs w:val="22"/>
        </w:rPr>
        <w:t>The New Economic Foundation (Adballah et. al., 2012)</w:t>
      </w:r>
      <w:r w:rsidRPr="0093704C">
        <w:rPr>
          <w:rFonts w:ascii="Verdana" w:eastAsia="Times New Roman" w:hAnsi="Verdana" w:cs="Times New Roman"/>
          <w:sz w:val="22"/>
          <w:szCs w:val="22"/>
          <w:vertAlign w:val="superscript"/>
        </w:rPr>
        <w:footnoteReference w:id="41"/>
      </w:r>
      <w:r w:rsidRPr="0093704C">
        <w:rPr>
          <w:rFonts w:ascii="Verdana" w:hAnsi="Verdana" w:cs="Times New Roman"/>
          <w:sz w:val="22"/>
          <w:szCs w:val="22"/>
        </w:rPr>
        <w:t xml:space="preserve"> propose a framework for measuring societ</w:t>
      </w:r>
      <w:r w:rsidR="005805B9" w:rsidRPr="0093704C">
        <w:rPr>
          <w:rFonts w:ascii="Verdana" w:hAnsi="Verdana" w:cs="Times New Roman"/>
          <w:sz w:val="22"/>
          <w:szCs w:val="22"/>
        </w:rPr>
        <w:t>al wellbeing with three spheres.  They suggest that</w:t>
      </w:r>
      <w:r w:rsidRPr="0093704C">
        <w:rPr>
          <w:rFonts w:ascii="Verdana" w:hAnsi="Verdana" w:cs="Times New Roman"/>
          <w:sz w:val="22"/>
          <w:szCs w:val="22"/>
        </w:rPr>
        <w:t xml:space="preserve">, for </w:t>
      </w:r>
      <w:r w:rsidR="005805B9" w:rsidRPr="0093704C">
        <w:rPr>
          <w:rFonts w:ascii="Verdana" w:hAnsi="Verdana" w:cs="Times New Roman"/>
          <w:sz w:val="22"/>
          <w:szCs w:val="22"/>
        </w:rPr>
        <w:t>each sphere,</w:t>
      </w:r>
      <w:r w:rsidR="0053578C" w:rsidRPr="0093704C">
        <w:rPr>
          <w:rFonts w:ascii="Verdana" w:hAnsi="Verdana" w:cs="Times New Roman"/>
          <w:sz w:val="22"/>
          <w:szCs w:val="22"/>
        </w:rPr>
        <w:t xml:space="preserve"> </w:t>
      </w:r>
      <w:r w:rsidR="005805B9" w:rsidRPr="0093704C">
        <w:rPr>
          <w:rFonts w:ascii="Verdana" w:hAnsi="Verdana" w:cs="Times New Roman"/>
          <w:sz w:val="22"/>
          <w:szCs w:val="22"/>
        </w:rPr>
        <w:t xml:space="preserve">in-depth measures are needed for </w:t>
      </w:r>
      <w:r w:rsidRPr="0093704C">
        <w:rPr>
          <w:rFonts w:ascii="Verdana" w:hAnsi="Verdana" w:cs="Times New Roman"/>
          <w:sz w:val="22"/>
          <w:szCs w:val="22"/>
        </w:rPr>
        <w:t xml:space="preserve">policy making, </w:t>
      </w:r>
      <w:r w:rsidR="005805B9" w:rsidRPr="0093704C">
        <w:rPr>
          <w:rFonts w:ascii="Verdana" w:hAnsi="Verdana" w:cs="Times New Roman"/>
          <w:sz w:val="22"/>
          <w:szCs w:val="22"/>
        </w:rPr>
        <w:t xml:space="preserve">as well as </w:t>
      </w:r>
      <w:r w:rsidRPr="0093704C">
        <w:rPr>
          <w:rFonts w:ascii="Verdana" w:hAnsi="Verdana" w:cs="Times New Roman"/>
          <w:sz w:val="22"/>
          <w:szCs w:val="22"/>
        </w:rPr>
        <w:t>headline indicators</w:t>
      </w:r>
      <w:r w:rsidR="005805B9" w:rsidRPr="0093704C">
        <w:rPr>
          <w:rFonts w:ascii="Verdana" w:hAnsi="Verdana" w:cs="Times New Roman"/>
          <w:sz w:val="22"/>
          <w:szCs w:val="22"/>
        </w:rPr>
        <w:t xml:space="preserve"> to provide</w:t>
      </w:r>
      <w:r w:rsidRPr="0093704C">
        <w:rPr>
          <w:rFonts w:ascii="Verdana" w:hAnsi="Verdana" w:cs="Times New Roman"/>
          <w:sz w:val="22"/>
          <w:szCs w:val="22"/>
        </w:rPr>
        <w:t xml:space="preserve"> an overview of progress.</w:t>
      </w:r>
    </w:p>
    <w:p w14:paraId="5294A723" w14:textId="77777777" w:rsidR="00120876" w:rsidRPr="0093704C" w:rsidRDefault="00120876">
      <w:pPr>
        <w:pStyle w:val="ListParagraph"/>
        <w:ind w:left="0"/>
        <w:rPr>
          <w:rFonts w:ascii="Verdana" w:hAnsi="Verdana" w:cs="Times New Roman"/>
          <w:sz w:val="22"/>
          <w:szCs w:val="22"/>
        </w:rPr>
      </w:pPr>
    </w:p>
    <w:p w14:paraId="3027FF5F" w14:textId="77777777" w:rsidR="00120876" w:rsidRPr="0093704C" w:rsidRDefault="00120876" w:rsidP="00120876">
      <w:pPr>
        <w:pStyle w:val="ListParagraph"/>
        <w:ind w:left="0"/>
        <w:rPr>
          <w:rFonts w:ascii="Verdana" w:hAnsi="Verdana" w:cs="Times New Roman"/>
          <w:sz w:val="22"/>
          <w:szCs w:val="22"/>
        </w:rPr>
      </w:pPr>
      <w:r w:rsidRPr="0093704C">
        <w:rPr>
          <w:rFonts w:ascii="Verdana" w:hAnsi="Verdana" w:cs="Times New Roman"/>
          <w:sz w:val="22"/>
          <w:szCs w:val="22"/>
        </w:rPr>
        <w:t>The framework focuses on three spheres:</w:t>
      </w:r>
    </w:p>
    <w:p w14:paraId="097CAD24" w14:textId="77777777" w:rsidR="00120876" w:rsidRPr="0093704C" w:rsidRDefault="00120876" w:rsidP="00120876">
      <w:pPr>
        <w:pStyle w:val="ListParagraph"/>
        <w:numPr>
          <w:ilvl w:val="0"/>
          <w:numId w:val="16"/>
        </w:numPr>
        <w:tabs>
          <w:tab w:val="num" w:pos="720"/>
        </w:tabs>
        <w:ind w:hanging="360"/>
        <w:rPr>
          <w:rFonts w:ascii="Verdana" w:hAnsi="Verdana" w:cs="Times New Roman"/>
          <w:sz w:val="22"/>
          <w:szCs w:val="22"/>
        </w:rPr>
      </w:pPr>
      <w:r w:rsidRPr="0093704C">
        <w:rPr>
          <w:rFonts w:ascii="Verdana" w:hAnsi="Verdana" w:cs="Times New Roman"/>
          <w:sz w:val="22"/>
          <w:szCs w:val="22"/>
        </w:rPr>
        <w:t>Our goals in terms of wellbeing for all;</w:t>
      </w:r>
    </w:p>
    <w:p w14:paraId="0F0AF873" w14:textId="77777777" w:rsidR="00120876" w:rsidRPr="0093704C" w:rsidRDefault="00120876" w:rsidP="00120876">
      <w:pPr>
        <w:pStyle w:val="ListParagraph"/>
        <w:numPr>
          <w:ilvl w:val="0"/>
          <w:numId w:val="17"/>
        </w:numPr>
        <w:tabs>
          <w:tab w:val="num" w:pos="720"/>
        </w:tabs>
        <w:ind w:hanging="360"/>
        <w:rPr>
          <w:rFonts w:ascii="Verdana" w:hAnsi="Verdana" w:cs="Times New Roman"/>
          <w:sz w:val="22"/>
          <w:szCs w:val="22"/>
        </w:rPr>
      </w:pPr>
      <w:r w:rsidRPr="0093704C">
        <w:rPr>
          <w:rFonts w:ascii="Verdana" w:hAnsi="Verdana" w:cs="Times New Roman"/>
          <w:sz w:val="22"/>
          <w:szCs w:val="22"/>
        </w:rPr>
        <w:t>Our resources, including our limited ecological resources;</w:t>
      </w:r>
    </w:p>
    <w:p w14:paraId="7C9E9CEC" w14:textId="6018C0C4" w:rsidR="0045389F" w:rsidRPr="0093704C" w:rsidRDefault="00120876" w:rsidP="00BD1689">
      <w:pPr>
        <w:pStyle w:val="ListParagraph"/>
        <w:numPr>
          <w:ilvl w:val="0"/>
          <w:numId w:val="18"/>
        </w:numPr>
        <w:tabs>
          <w:tab w:val="num" w:pos="720"/>
        </w:tabs>
        <w:ind w:hanging="360"/>
        <w:rPr>
          <w:rFonts w:ascii="Verdana" w:hAnsi="Verdana" w:cs="Times New Roman"/>
          <w:sz w:val="22"/>
          <w:szCs w:val="22"/>
        </w:rPr>
      </w:pPr>
      <w:r w:rsidRPr="0093704C">
        <w:rPr>
          <w:rFonts w:ascii="Verdana" w:hAnsi="Verdana" w:cs="Times New Roman"/>
          <w:sz w:val="22"/>
          <w:szCs w:val="22"/>
        </w:rPr>
        <w:t>The human systems which should be designed to achieve wellbeing outputs. Within this economic performance is specifically mentioned as the system with the biggest policy focus and in need of the biggest change</w:t>
      </w:r>
      <w:r w:rsidR="0053578C" w:rsidRPr="0093704C">
        <w:rPr>
          <w:rFonts w:ascii="Verdana" w:hAnsi="Verdana" w:cs="Times New Roman"/>
          <w:sz w:val="22"/>
          <w:szCs w:val="22"/>
        </w:rPr>
        <w:t>.</w:t>
      </w:r>
    </w:p>
    <w:p w14:paraId="70115A75" w14:textId="77777777" w:rsidR="0053578C" w:rsidRPr="0093704C" w:rsidRDefault="0053578C" w:rsidP="0053578C">
      <w:pPr>
        <w:pStyle w:val="ListParagraph"/>
        <w:rPr>
          <w:rFonts w:ascii="Verdana" w:hAnsi="Verdana" w:cs="Times New Roman"/>
          <w:sz w:val="22"/>
          <w:szCs w:val="22"/>
        </w:rPr>
      </w:pPr>
    </w:p>
    <w:p w14:paraId="5A544883" w14:textId="3675343A" w:rsidR="0045389F" w:rsidRPr="0093704C" w:rsidRDefault="0053578C">
      <w:pPr>
        <w:pStyle w:val="ListParagraph"/>
        <w:ind w:left="0"/>
        <w:rPr>
          <w:rFonts w:ascii="Verdana" w:hAnsi="Verdana" w:cs="Times New Roman"/>
          <w:sz w:val="22"/>
          <w:szCs w:val="22"/>
        </w:rPr>
      </w:pPr>
      <w:r w:rsidRPr="0093704C">
        <w:rPr>
          <w:rFonts w:ascii="Verdana" w:hAnsi="Verdana" w:cs="Times New Roman"/>
          <w:noProof/>
          <w:sz w:val="22"/>
          <w:szCs w:val="22"/>
        </w:rPr>
        <mc:AlternateContent>
          <mc:Choice Requires="wpg">
            <w:drawing>
              <wp:inline distT="0" distB="0" distL="0" distR="0" wp14:anchorId="5B9D9898" wp14:editId="3188D9CE">
                <wp:extent cx="5143500" cy="3250565"/>
                <wp:effectExtent l="76200" t="50800" r="114300" b="127635"/>
                <wp:docPr id="1073741848" name="officeArt object"/>
                <wp:cNvGraphicFramePr/>
                <a:graphic xmlns:a="http://schemas.openxmlformats.org/drawingml/2006/main">
                  <a:graphicData uri="http://schemas.microsoft.com/office/word/2010/wordprocessingGroup">
                    <wpg:wgp>
                      <wpg:cNvGrpSpPr/>
                      <wpg:grpSpPr>
                        <a:xfrm>
                          <a:off x="0" y="0"/>
                          <a:ext cx="5143500" cy="3250565"/>
                          <a:chOff x="-1" y="-1"/>
                          <a:chExt cx="5143502" cy="3250568"/>
                        </a:xfrm>
                      </wpg:grpSpPr>
                      <wps:wsp>
                        <wps:cNvPr id="1073741826" name="Shape 1073741826"/>
                        <wps:cNvSpPr/>
                        <wps:spPr>
                          <a:xfrm>
                            <a:off x="-1" y="114299"/>
                            <a:ext cx="1485901" cy="1371601"/>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gradFill flip="none" rotWithShape="1">
                            <a:gsLst>
                              <a:gs pos="0">
                                <a:srgbClr val="A7C0DE"/>
                              </a:gs>
                              <a:gs pos="100000">
                                <a:srgbClr val="4F81BD"/>
                              </a:gs>
                            </a:gsLst>
                            <a:lin ang="5400000" scaled="0"/>
                          </a:gradFill>
                          <a:ln w="9525" cap="flat">
                            <a:solidFill>
                              <a:srgbClr val="457AB9"/>
                            </a:solidFill>
                            <a:prstDash val="solid"/>
                            <a:round/>
                          </a:ln>
                          <a:effectLst>
                            <a:outerShdw blurRad="63500" dist="23000" dir="5400000" rotWithShape="0">
                              <a:srgbClr val="000000">
                                <a:alpha val="34999"/>
                              </a:srgbClr>
                            </a:outerShdw>
                          </a:effectLst>
                        </wps:spPr>
                        <wps:bodyPr/>
                      </wps:wsp>
                      <wps:wsp>
                        <wps:cNvPr id="1073741828" name="Shape 1073741828"/>
                        <wps:cNvSpPr/>
                        <wps:spPr>
                          <a:xfrm>
                            <a:off x="142239" y="490219"/>
                            <a:ext cx="1257301" cy="424182"/>
                          </a:xfrm>
                          <a:prstGeom prst="rect">
                            <a:avLst/>
                          </a:prstGeom>
                          <a:solidFill>
                            <a:schemeClr val="accent4">
                              <a:lumMod val="75000"/>
                            </a:schemeClr>
                          </a:solidFill>
                          <a:ln w="12700" cap="flat">
                            <a:noFill/>
                            <a:miter lim="400000"/>
                          </a:ln>
                          <a:effectLst/>
                        </wps:spPr>
                        <wps:txbx>
                          <w:txbxContent>
                            <w:p w14:paraId="537AA351" w14:textId="77777777" w:rsidR="00B82186" w:rsidRDefault="00B82186">
                              <w:pPr>
                                <w:pStyle w:val="Body"/>
                              </w:pPr>
                              <w:r>
                                <w:rPr>
                                  <w:sz w:val="18"/>
                                  <w:szCs w:val="18"/>
                                </w:rPr>
                                <w:t>Use of limited ecological resources</w:t>
                              </w:r>
                            </w:p>
                          </w:txbxContent>
                        </wps:txbx>
                        <wps:bodyPr wrap="square" lIns="45719" tIns="45719" rIns="45719" bIns="45719" numCol="1" anchor="t">
                          <a:noAutofit/>
                        </wps:bodyPr>
                      </wps:wsp>
                      <wps:wsp>
                        <wps:cNvPr id="1073741830" name="Shape 1073741830"/>
                        <wps:cNvSpPr/>
                        <wps:spPr>
                          <a:xfrm>
                            <a:off x="1600200" y="1371599"/>
                            <a:ext cx="1943100" cy="1878968"/>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gradFill flip="none" rotWithShape="1">
                            <a:gsLst>
                              <a:gs pos="0">
                                <a:srgbClr val="A7C0DE"/>
                              </a:gs>
                              <a:gs pos="100000">
                                <a:srgbClr val="4F81BD"/>
                              </a:gs>
                            </a:gsLst>
                            <a:lin ang="5400000" scaled="0"/>
                          </a:gradFill>
                          <a:ln w="9525" cap="flat">
                            <a:solidFill>
                              <a:srgbClr val="457AB9"/>
                            </a:solidFill>
                            <a:prstDash val="solid"/>
                            <a:round/>
                          </a:ln>
                          <a:effectLst>
                            <a:outerShdw blurRad="63500" dist="23000" dir="5400000" rotWithShape="0">
                              <a:srgbClr val="000000">
                                <a:alpha val="34999"/>
                              </a:srgbClr>
                            </a:outerShdw>
                          </a:effectLst>
                        </wps:spPr>
                        <wps:bodyPr/>
                      </wps:wsp>
                      <wps:wsp>
                        <wps:cNvPr id="1073741831" name="Shape 1073741831"/>
                        <wps:cNvSpPr/>
                        <wps:spPr>
                          <a:xfrm>
                            <a:off x="3657600" y="-1"/>
                            <a:ext cx="1485901" cy="1371601"/>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gradFill flip="none" rotWithShape="1">
                            <a:gsLst>
                              <a:gs pos="0">
                                <a:srgbClr val="A7C0DE"/>
                              </a:gs>
                              <a:gs pos="100000">
                                <a:srgbClr val="4F81BD"/>
                              </a:gs>
                            </a:gsLst>
                            <a:lin ang="5400000" scaled="0"/>
                          </a:gradFill>
                          <a:ln w="9525" cap="flat">
                            <a:solidFill>
                              <a:srgbClr val="457AB9"/>
                            </a:solidFill>
                            <a:prstDash val="solid"/>
                            <a:round/>
                          </a:ln>
                          <a:effectLst>
                            <a:outerShdw blurRad="63500" dist="23000" dir="5400000" rotWithShape="0">
                              <a:srgbClr val="000000">
                                <a:alpha val="34999"/>
                              </a:srgbClr>
                            </a:outerShdw>
                          </a:effectLst>
                        </wps:spPr>
                        <wps:bodyPr/>
                      </wps:wsp>
                      <wpg:grpSp>
                        <wpg:cNvPr id="1073741834" name="Group 1073741834"/>
                        <wpg:cNvGrpSpPr/>
                        <wpg:grpSpPr>
                          <a:xfrm>
                            <a:off x="3886200" y="342899"/>
                            <a:ext cx="1028701" cy="342901"/>
                            <a:chOff x="0" y="0"/>
                            <a:chExt cx="1028700" cy="342900"/>
                          </a:xfrm>
                        </wpg:grpSpPr>
                        <wps:wsp>
                          <wps:cNvPr id="1073741832" name="Shape 1073741832"/>
                          <wps:cNvSpPr/>
                          <wps:spPr>
                            <a:xfrm>
                              <a:off x="0" y="0"/>
                              <a:ext cx="1028700" cy="342900"/>
                            </a:xfrm>
                            <a:prstGeom prst="rect">
                              <a:avLst/>
                            </a:prstGeom>
                            <a:solidFill>
                              <a:srgbClr val="D99694"/>
                            </a:solidFill>
                            <a:ln w="12700" cap="flat">
                              <a:noFill/>
                              <a:miter lim="400000"/>
                            </a:ln>
                            <a:effectLst/>
                          </wps:spPr>
                          <wps:bodyPr/>
                        </wps:wsp>
                        <wps:wsp>
                          <wps:cNvPr id="1073741833" name="Shape 1073741833"/>
                          <wps:cNvSpPr/>
                          <wps:spPr>
                            <a:xfrm>
                              <a:off x="0" y="0"/>
                              <a:ext cx="1028700" cy="342900"/>
                            </a:xfrm>
                            <a:prstGeom prst="rect">
                              <a:avLst/>
                            </a:prstGeom>
                            <a:solidFill>
                              <a:srgbClr val="EB8400"/>
                            </a:solidFill>
                            <a:ln w="12700" cap="flat">
                              <a:noFill/>
                              <a:miter lim="400000"/>
                            </a:ln>
                            <a:effectLst/>
                          </wps:spPr>
                          <wps:txbx>
                            <w:txbxContent>
                              <w:p w14:paraId="5AA4CE85" w14:textId="77777777" w:rsidR="00B82186" w:rsidRDefault="00B82186">
                                <w:pPr>
                                  <w:pStyle w:val="Body"/>
                                </w:pPr>
                                <w:r>
                                  <w:rPr>
                                    <w:sz w:val="18"/>
                                    <w:szCs w:val="18"/>
                                  </w:rPr>
                                  <w:t>Wellbeing for all</w:t>
                                </w:r>
                              </w:p>
                            </w:txbxContent>
                          </wps:txbx>
                          <wps:bodyPr wrap="square" lIns="45719" tIns="45719" rIns="45719" bIns="45719" numCol="1" anchor="t">
                            <a:noAutofit/>
                          </wps:bodyPr>
                        </wps:wsp>
                      </wpg:grpSp>
                      <wps:wsp>
                        <wps:cNvPr id="1073741835" name="Shape 1073741835"/>
                        <wps:cNvSpPr/>
                        <wps:spPr>
                          <a:xfrm>
                            <a:off x="3886836" y="817245"/>
                            <a:ext cx="1028701" cy="342901"/>
                          </a:xfrm>
                          <a:prstGeom prst="rect">
                            <a:avLst/>
                          </a:prstGeom>
                          <a:noFill/>
                          <a:ln w="12700" cap="flat">
                            <a:noFill/>
                            <a:miter lim="400000"/>
                          </a:ln>
                          <a:effectLst/>
                        </wps:spPr>
                        <wps:txbx>
                          <w:txbxContent>
                            <w:p w14:paraId="617FA427" w14:textId="77777777" w:rsidR="00B82186" w:rsidRDefault="00B82186">
                              <w:pPr>
                                <w:pStyle w:val="Body"/>
                              </w:pPr>
                              <w:r>
                                <w:rPr>
                                  <w:sz w:val="20"/>
                                  <w:szCs w:val="20"/>
                                  <w:lang w:val="nl-NL"/>
                                </w:rPr>
                                <w:t>Goals</w:t>
                              </w:r>
                            </w:p>
                          </w:txbxContent>
                        </wps:txbx>
                        <wps:bodyPr wrap="square" lIns="45719" tIns="45719" rIns="45719" bIns="45719" numCol="1" anchor="t">
                          <a:noAutofit/>
                        </wps:bodyPr>
                      </wps:wsp>
                      <wps:wsp>
                        <wps:cNvPr id="1073741836" name="Shape 1073741836"/>
                        <wps:cNvSpPr/>
                        <wps:spPr>
                          <a:xfrm>
                            <a:off x="228599" y="1028699"/>
                            <a:ext cx="1028701" cy="342901"/>
                          </a:xfrm>
                          <a:prstGeom prst="rect">
                            <a:avLst/>
                          </a:prstGeom>
                          <a:noFill/>
                          <a:ln w="12700" cap="flat">
                            <a:noFill/>
                            <a:miter lim="400000"/>
                          </a:ln>
                          <a:effectLst/>
                        </wps:spPr>
                        <wps:txbx>
                          <w:txbxContent>
                            <w:p w14:paraId="5EF6B0B9" w14:textId="77777777" w:rsidR="00B82186" w:rsidRDefault="00B82186">
                              <w:pPr>
                                <w:pStyle w:val="Body"/>
                              </w:pPr>
                              <w:r>
                                <w:rPr>
                                  <w:sz w:val="20"/>
                                  <w:szCs w:val="20"/>
                                  <w:lang w:val="fr-FR"/>
                                </w:rPr>
                                <w:t>Resources</w:t>
                              </w:r>
                            </w:p>
                          </w:txbxContent>
                        </wps:txbx>
                        <wps:bodyPr wrap="square" lIns="45719" tIns="45719" rIns="45719" bIns="45719" numCol="1" anchor="t">
                          <a:noAutofit/>
                        </wps:bodyPr>
                      </wps:wsp>
                      <wpg:grpSp>
                        <wpg:cNvPr id="1073741839" name="Group 1073741839"/>
                        <wpg:cNvGrpSpPr/>
                        <wpg:grpSpPr>
                          <a:xfrm>
                            <a:off x="1828799" y="1708149"/>
                            <a:ext cx="1371601" cy="342901"/>
                            <a:chOff x="0" y="0"/>
                            <a:chExt cx="1371600" cy="342900"/>
                          </a:xfrm>
                        </wpg:grpSpPr>
                        <wps:wsp>
                          <wps:cNvPr id="1073741837" name="Shape 1073741837"/>
                          <wps:cNvSpPr/>
                          <wps:spPr>
                            <a:xfrm>
                              <a:off x="0" y="0"/>
                              <a:ext cx="1371600" cy="342900"/>
                            </a:xfrm>
                            <a:prstGeom prst="rect">
                              <a:avLst/>
                            </a:prstGeom>
                            <a:solidFill>
                              <a:srgbClr val="D99694"/>
                            </a:solidFill>
                            <a:ln w="12700" cap="flat">
                              <a:noFill/>
                              <a:miter lim="400000"/>
                            </a:ln>
                            <a:effectLst/>
                          </wps:spPr>
                          <wps:bodyPr/>
                        </wps:wsp>
                        <wps:wsp>
                          <wps:cNvPr id="1073741838" name="Shape 1073741838"/>
                          <wps:cNvSpPr/>
                          <wps:spPr>
                            <a:xfrm>
                              <a:off x="0" y="0"/>
                              <a:ext cx="1371600" cy="342900"/>
                            </a:xfrm>
                            <a:prstGeom prst="rect">
                              <a:avLst/>
                            </a:prstGeom>
                            <a:solidFill>
                              <a:srgbClr val="EB8400"/>
                            </a:solidFill>
                            <a:ln w="12700" cap="flat">
                              <a:noFill/>
                              <a:miter lim="400000"/>
                            </a:ln>
                            <a:effectLst/>
                          </wps:spPr>
                          <wps:txbx>
                            <w:txbxContent>
                              <w:p w14:paraId="7E3E3507" w14:textId="77777777" w:rsidR="00B82186" w:rsidRDefault="00B82186">
                                <w:pPr>
                                  <w:pStyle w:val="Body"/>
                                </w:pPr>
                                <w:r>
                                  <w:rPr>
                                    <w:sz w:val="18"/>
                                    <w:szCs w:val="18"/>
                                  </w:rPr>
                                  <w:t>Economic performance</w:t>
                                </w:r>
                              </w:p>
                            </w:txbxContent>
                          </wps:txbx>
                          <wps:bodyPr wrap="square" lIns="45719" tIns="45719" rIns="45719" bIns="45719" numCol="1" anchor="t">
                            <a:noAutofit/>
                          </wps:bodyPr>
                        </wps:wsp>
                      </wpg:grpSp>
                      <wpg:grpSp>
                        <wpg:cNvPr id="1073741842" name="Group 1073741842"/>
                        <wpg:cNvGrpSpPr/>
                        <wpg:grpSpPr>
                          <a:xfrm>
                            <a:off x="1714500" y="2165349"/>
                            <a:ext cx="1714500" cy="228601"/>
                            <a:chOff x="0" y="0"/>
                            <a:chExt cx="1714500" cy="228600"/>
                          </a:xfrm>
                        </wpg:grpSpPr>
                        <wps:wsp>
                          <wps:cNvPr id="1073741840" name="Shape 1073741840"/>
                          <wps:cNvSpPr/>
                          <wps:spPr>
                            <a:xfrm>
                              <a:off x="0" y="0"/>
                              <a:ext cx="1714500" cy="228600"/>
                            </a:xfrm>
                            <a:prstGeom prst="rect">
                              <a:avLst/>
                            </a:prstGeom>
                            <a:solidFill>
                              <a:srgbClr val="D99694"/>
                            </a:solidFill>
                            <a:ln w="12700" cap="flat">
                              <a:noFill/>
                              <a:miter lim="400000"/>
                            </a:ln>
                            <a:effectLst/>
                          </wps:spPr>
                          <wps:bodyPr/>
                        </wps:wsp>
                        <wps:wsp>
                          <wps:cNvPr id="1073741841" name="Shape 1073741841"/>
                          <wps:cNvSpPr/>
                          <wps:spPr>
                            <a:xfrm>
                              <a:off x="0" y="0"/>
                              <a:ext cx="1714500" cy="228600"/>
                            </a:xfrm>
                            <a:prstGeom prst="rect">
                              <a:avLst/>
                            </a:prstGeom>
                            <a:solidFill>
                              <a:srgbClr val="EB8400"/>
                            </a:solidFill>
                            <a:ln w="12700" cap="flat">
                              <a:noFill/>
                              <a:miter lim="400000"/>
                            </a:ln>
                            <a:effectLst/>
                          </wps:spPr>
                          <wps:txbx>
                            <w:txbxContent>
                              <w:p w14:paraId="1BF32AE9" w14:textId="77777777" w:rsidR="00B82186" w:rsidRDefault="00B82186">
                                <w:pPr>
                                  <w:pStyle w:val="Body"/>
                                </w:pPr>
                                <w:r>
                                  <w:rPr>
                                    <w:sz w:val="18"/>
                                    <w:szCs w:val="18"/>
                                  </w:rPr>
                                  <w:t>Performance of other systems</w:t>
                                </w:r>
                              </w:p>
                            </w:txbxContent>
                          </wps:txbx>
                          <wps:bodyPr wrap="square" lIns="45719" tIns="45719" rIns="45719" bIns="45719" numCol="1" anchor="t">
                            <a:noAutofit/>
                          </wps:bodyPr>
                        </wps:wsp>
                      </wpg:grpSp>
                      <wps:wsp>
                        <wps:cNvPr id="1073741843" name="Shape 1073741843"/>
                        <wps:cNvSpPr/>
                        <wps:spPr>
                          <a:xfrm>
                            <a:off x="2172335" y="2531746"/>
                            <a:ext cx="800100" cy="457201"/>
                          </a:xfrm>
                          <a:prstGeom prst="rect">
                            <a:avLst/>
                          </a:prstGeom>
                          <a:noFill/>
                          <a:ln w="12700" cap="flat">
                            <a:noFill/>
                            <a:miter lim="400000"/>
                          </a:ln>
                          <a:effectLst/>
                        </wps:spPr>
                        <wps:txbx>
                          <w:txbxContent>
                            <w:p w14:paraId="5F6E8101" w14:textId="77777777" w:rsidR="00B82186" w:rsidRDefault="00B82186">
                              <w:pPr>
                                <w:pStyle w:val="Body"/>
                              </w:pPr>
                              <w:r>
                                <w:rPr>
                                  <w:sz w:val="20"/>
                                  <w:szCs w:val="20"/>
                                </w:rPr>
                                <w:t>Human systems</w:t>
                              </w:r>
                            </w:p>
                          </w:txbxContent>
                        </wps:txbx>
                        <wps:bodyPr wrap="square" lIns="45719" tIns="45719" rIns="45719" bIns="45719" numCol="1" anchor="t">
                          <a:noAutofit/>
                        </wps:bodyPr>
                      </wps:wsp>
                      <wps:wsp>
                        <wps:cNvPr id="1073741844" name="Shape 1073741844"/>
                        <wps:cNvSpPr/>
                        <wps:spPr>
                          <a:xfrm>
                            <a:off x="1485900" y="342899"/>
                            <a:ext cx="2171700" cy="342901"/>
                          </a:xfrm>
                          <a:prstGeom prst="rect">
                            <a:avLst/>
                          </a:prstGeom>
                          <a:noFill/>
                          <a:ln w="12700" cap="flat">
                            <a:noFill/>
                            <a:miter lim="400000"/>
                          </a:ln>
                          <a:effectLst/>
                        </wps:spPr>
                        <wps:txbx>
                          <w:txbxContent>
                            <w:p w14:paraId="1FEA78C3" w14:textId="77777777" w:rsidR="00B82186" w:rsidRDefault="00B82186">
                              <w:pPr>
                                <w:pStyle w:val="Body"/>
                              </w:pPr>
                              <w:r>
                                <w:t>Sustainable wellbeing</w:t>
                              </w:r>
                            </w:p>
                          </w:txbxContent>
                        </wps:txbx>
                        <wps:bodyPr wrap="square" lIns="45719" tIns="45719" rIns="45719" bIns="45719" numCol="1" anchor="t">
                          <a:noAutofit/>
                        </wps:bodyPr>
                      </wps:wsp>
                      <wps:wsp>
                        <wps:cNvPr id="1073741845" name="Shape 1073741845"/>
                        <wps:cNvCnPr/>
                        <wps:spPr>
                          <a:xfrm>
                            <a:off x="1257299" y="1371599"/>
                            <a:ext cx="457201" cy="342901"/>
                          </a:xfrm>
                          <a:prstGeom prst="line">
                            <a:avLst/>
                          </a:prstGeom>
                          <a:noFill/>
                          <a:ln w="25400" cap="flat">
                            <a:solidFill>
                              <a:srgbClr val="4F81BD"/>
                            </a:solidFill>
                            <a:prstDash val="solid"/>
                            <a:round/>
                            <a:tailEnd type="triangle" w="med" len="med"/>
                          </a:ln>
                          <a:effectLst>
                            <a:outerShdw blurRad="63500" dist="20000" dir="5400000" rotWithShape="0">
                              <a:srgbClr val="000000">
                                <a:alpha val="37999"/>
                              </a:srgbClr>
                            </a:outerShdw>
                          </a:effectLst>
                        </wps:spPr>
                        <wps:bodyPr/>
                      </wps:wsp>
                      <wps:wsp>
                        <wps:cNvPr id="1073741846" name="Shape 1073741846"/>
                        <wps:cNvCnPr/>
                        <wps:spPr>
                          <a:xfrm flipV="1">
                            <a:off x="3429000" y="1250949"/>
                            <a:ext cx="571501" cy="457201"/>
                          </a:xfrm>
                          <a:prstGeom prst="line">
                            <a:avLst/>
                          </a:prstGeom>
                          <a:noFill/>
                          <a:ln w="25400" cap="flat">
                            <a:solidFill>
                              <a:srgbClr val="4F81BD"/>
                            </a:solidFill>
                            <a:prstDash val="solid"/>
                            <a:round/>
                            <a:tailEnd type="triangle" w="med" len="med"/>
                          </a:ln>
                          <a:effectLst>
                            <a:outerShdw blurRad="63500" dist="20000" dir="5400000" rotWithShape="0">
                              <a:srgbClr val="000000">
                                <a:alpha val="37999"/>
                              </a:srgbClr>
                            </a:outerShdw>
                          </a:effectLst>
                        </wps:spPr>
                        <wps:bodyPr/>
                      </wps:wsp>
                      <wps:wsp>
                        <wps:cNvPr id="1073741847" name="Shape 1073741847"/>
                        <wps:cNvCnPr/>
                        <wps:spPr>
                          <a:xfrm>
                            <a:off x="1485900" y="685799"/>
                            <a:ext cx="2171701" cy="1"/>
                          </a:xfrm>
                          <a:prstGeom prst="line">
                            <a:avLst/>
                          </a:prstGeom>
                          <a:noFill/>
                          <a:ln w="25400" cap="flat">
                            <a:solidFill>
                              <a:srgbClr val="4F81BD"/>
                            </a:solidFill>
                            <a:prstDash val="solid"/>
                            <a:round/>
                          </a:ln>
                          <a:effectLst>
                            <a:outerShdw blurRad="63500" dist="20000" dir="5400000" rotWithShape="0">
                              <a:srgbClr val="000000">
                                <a:alpha val="37999"/>
                              </a:srgbClr>
                            </a:outerShdw>
                          </a:effectLst>
                        </wps:spPr>
                        <wps:bodyPr/>
                      </wps:wsp>
                    </wpg:wgp>
                  </a:graphicData>
                </a:graphic>
              </wp:inline>
            </w:drawing>
          </mc:Choice>
          <mc:Fallback>
            <w:pict>
              <v:group id="officeArt object" o:spid="_x0000_s1026" style="width:405pt;height:255.95pt;mso-position-horizontal-relative:char;mso-position-vertical-relative:line" coordorigin="-1,-1" coordsize="5143502,325056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">
                <v:shape id="Shape 1073741826" o:spid="_x0000_s1027" style="position:absolute;left:-1;top:114299;width:1485901;height:1371601;visibility:visible;mso-wrap-style:square;v-text-anchor:top" coordsize="19679,1967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" path="m16796,2882c20639,6724,20639,12954,16796,16796,12954,20639,6724,20639,2882,16796,-961,12954,-961,6724,2882,2882,6724,-961,12954,-961,16796,2882xe" fillcolor="#a7c0de" strokecolor="#457ab9">
                  <v:fill color2="#4f81bd" rotate="t" focus="100%" type="gradient">
                    <o:fill v:ext="view" type="gradientUnscaled"/>
                  </v:fill>
                  <v:shadow on="t" opacity="22936f" origin=",.5" offset="0,23000emu"/>
                  <v:path arrowok="t" o:extrusionok="f" o:connecttype="custom" o:connectlocs="742951,685801;742951,685801;742951,685801;742951,685801" o:connectangles="0,90,180,270"/>
                </v:shape>
                <v:rect id="Shape 1073741828" o:spid="_x0000_s1028" style="position:absolute;left:142239;top:490219;width:1257301;height:42418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" fillcolor="#ea8300 [2407]" stroked="f" strokeweight="1pt">
                  <v:stroke miterlimit="4"/>
                  <v:textbox inset="45719emu,45719emu,45719emu,45719emu">
                    <w:txbxContent>
                      <w:p w14:paraId="537AA351" w14:textId="77777777" w:rsidR="0055526B" w:rsidRDefault="0055526B">
                        <w:pPr>
                          <w:pStyle w:val="Body"/>
                        </w:pPr>
                        <w:r>
                          <w:rPr>
                            <w:sz w:val="18"/>
                            <w:szCs w:val="18"/>
                          </w:rPr>
                          <w:t>Use of limited ecological resources</w:t>
                        </w:r>
                      </w:p>
                    </w:txbxContent>
                  </v:textbox>
                </v:rect>
                <v:shape id="Shape 1073741830" o:spid="_x0000_s1029" style="position:absolute;left:1600200;top:1371599;width:1943100;height:1878968;visibility:visible;mso-wrap-style:square;v-text-anchor:top" coordsize="19679,1967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" path="m16796,2882c20639,6724,20639,12954,16796,16796,12954,20639,6724,20639,2882,16796,-961,12954,-961,6724,2882,2882,6724,-961,12954,-961,16796,2882xe" fillcolor="#a7c0de" strokecolor="#457ab9">
                  <v:fill color2="#4f81bd" rotate="t" focus="100%" type="gradient">
                    <o:fill v:ext="view" type="gradientUnscaled"/>
                  </v:fill>
                  <v:shadow on="t" opacity="22936f" origin=",.5" offset="0,23000emu"/>
                  <v:path arrowok="t" o:extrusionok="f" o:connecttype="custom" o:connectlocs="971550,939484;971550,939484;971550,939484;971550,939484" o:connectangles="0,90,180,270"/>
                </v:shape>
                <v:shape id="Shape 1073741831" o:spid="_x0000_s1030" style="position:absolute;left:3657600;top:-1;width:1485901;height:1371601;visibility:visible;mso-wrap-style:square;v-text-anchor:top" coordsize="19679,1967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" path="m16796,2882c20639,6724,20639,12954,16796,16796,12954,20639,6724,20639,2882,16796,-961,12954,-961,6724,2882,2882,6724,-961,12954,-961,16796,2882xe" fillcolor="#a7c0de" strokecolor="#457ab9">
                  <v:fill color2="#4f81bd" rotate="t" focus="100%" type="gradient">
                    <o:fill v:ext="view" type="gradientUnscaled"/>
                  </v:fill>
                  <v:shadow on="t" opacity="22936f" origin=",.5" offset="0,23000emu"/>
                  <v:path arrowok="t" o:extrusionok="f" o:connecttype="custom" o:connectlocs="742951,685801;742951,685801;742951,685801;742951,685801" o:connectangles="0,90,180,270"/>
                </v:shape>
                <v:group id="Group 1073741834" o:spid="_x0000_s1031" style="position:absolute;left:3886200;top:342899;width:1028701;height:342901" coordsize="1028700,3429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">
                  <v:rect id="Shape 1073741832" o:spid="_x0000_s103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zHbsxwAA&#10;AOMAAAAPAAAAZHJzL2Rvd25yZXYueG1sRE9fa8IwEH8f+B3CCXubqTpUqlFG2UBhD65On4/mbKrN&#10;pTRR67dfBoKP9/t/i1Vna3Gl1leOFQwHCQjiwumKSwW/u6+3GQgfkDXWjknBnTyslr2XBaba3fiH&#10;rnkoRQxhn6ICE0KTSukLQxb9wDXEkTu61mKIZ1tK3eIthttajpJkIi1WHBsMNpQZKs75xSqQ6/Jz&#10;s/s+XPYnb7aWNvcum2RKvfa7jzmIQF14ih/utY7zk+l4+j6cjUfw/1MEQC7/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7Mx27McAAADjAAAADwAAAAAAAAAAAAAAAACXAgAAZHJz&#10;L2Rvd25yZXYueG1sUEsFBgAAAAAEAAQA9QAAAIsDAAAAAA==&#10;" fillcolor="#d99694" stroked="f" strokeweight="1pt">
                    <v:stroke miterlimit="4"/>
                  </v:rect>
                  <v:rect id="Shape 1073741833" o:spid="_x0000_s1033"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rOGIxQAA&#10;AOMAAAAPAAAAZHJzL2Rvd25yZXYueG1sRE9Li8IwEL4L/ocwC940dSurdI1SFkWvPg57nG3GtrSZ&#10;1CZq9dcbYcHjfO+ZLztTiyu1rrSsYDyKQBBnVpecKzge1sMZCOeRNdaWScGdHCwX/d4cE21vvKPr&#10;3ucihLBLUEHhfZNI6bKCDLqRbYgDd7KtQR/ONpe6xVsIN7X8jKIvabDk0FBgQz8FZdX+YhTYR/pX&#10;mfM9dUf81bbays3qJJUafHTpNwhPnX+L/91bHeZH03g6Gc/iGF4/BQDk4gk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ys4YjFAAAA4wAAAA8AAAAAAAAAAAAAAAAAlwIAAGRycy9k&#10;b3ducmV2LnhtbFBLBQYAAAAABAAEAPUAAACJAwAAAAA=&#10;" fillcolor="#eb8400" stroked="f" strokeweight="1pt">
                    <v:stroke miterlimit="4"/>
                    <v:textbox inset="45719emu,45719emu,45719emu,45719emu">
                      <w:txbxContent>
                        <w:p w14:paraId="5AA4CE85" w14:textId="77777777" w:rsidR="0055526B" w:rsidRDefault="0055526B">
                          <w:pPr>
                            <w:pStyle w:val="Body"/>
                          </w:pPr>
                          <w:r>
                            <w:rPr>
                              <w:sz w:val="18"/>
                              <w:szCs w:val="18"/>
                            </w:rPr>
                            <w:t>Wellbeing for all</w:t>
                          </w:r>
                        </w:p>
                      </w:txbxContent>
                    </v:textbox>
                  </v:rect>
                </v:group>
                <v:rect id="Shape 1073741835" o:spid="_x0000_s1034" style="position:absolute;left:3886836;top:817245;width:1028701;height:3429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PLYixwAA&#10;AOMAAAAPAAAAZHJzL2Rvd25yZXYueG1sRE9fa8IwEH8X9h3CDXybSa1O7YwyRMfAJ90+wNHcmm7N&#10;pTSp1m+/DAY+3u//rbeDa8SFulB71pBNFAji0puaKw2fH4enJYgQkQ02nknDjQJsNw+jNRbGX/lE&#10;l3OsRArhUKAGG2NbSBlKSw7DxLfEifvyncOYzq6SpsNrCneNnCr1LB3WnBostrSzVP6ce6dBZse8&#10;Wbl+NR1sv89nav59eGu1Hj8Ory8gIg3xLv53v5s0Xy3yxSxb5nP4+ykBIDe/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Ijy2IscAAADjAAAADwAAAAAAAAAAAAAAAACXAgAAZHJz&#10;L2Rvd25yZXYueG1sUEsFBgAAAAAEAAQA9QAAAIsDAAAAAA==&#10;" filled="f" stroked="f" strokeweight="1pt">
                  <v:stroke miterlimit="4"/>
                  <v:textbox inset="45719emu,45719emu,45719emu,45719emu">
                    <w:txbxContent>
                      <w:p w14:paraId="617FA427" w14:textId="77777777" w:rsidR="0055526B" w:rsidRDefault="0055526B">
                        <w:pPr>
                          <w:pStyle w:val="Body"/>
                        </w:pPr>
                        <w:r>
                          <w:rPr>
                            <w:sz w:val="20"/>
                            <w:szCs w:val="20"/>
                            <w:lang w:val="nl-NL"/>
                          </w:rPr>
                          <w:t>Goals</w:t>
                        </w:r>
                      </w:p>
                    </w:txbxContent>
                  </v:textbox>
                </v:rect>
                <v:rect id="Shape 1073741836" o:spid="_x0000_s1035" style="position:absolute;left:228599;top:1028699;width:1028701;height:3429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7ihVxwAA&#10;AOMAAAAPAAAAZHJzL2Rvd25yZXYueG1sRE/dasIwFL4f7B3CGexOk1p/q1HGmDLY1dQHODTHpltz&#10;UppUu7dfhMEuz/d/NrvBNeJKXag9a8jGCgRx6U3NlYbzaT9agggR2WDjmTT8UIDd9vFhg4XxN/6k&#10;6zFWIoVwKFCDjbEtpAylJYdh7FvixF185zCms6uk6fCWwl0jJ0rNpcOaU4PFll4tld/H3mmQ2Ufe&#10;rFy/mgy2f8unava1P7RaPz8NL2sQkYb4L/5zv5s0Xy3yxTRb5nO4/5QAkNt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0u4oVccAAADjAAAADwAAAAAAAAAAAAAAAACXAgAAZHJz&#10;L2Rvd25yZXYueG1sUEsFBgAAAAAEAAQA9QAAAIsDAAAAAA==&#10;" filled="f" stroked="f" strokeweight="1pt">
                  <v:stroke miterlimit="4"/>
                  <v:textbox inset="45719emu,45719emu,45719emu,45719emu">
                    <w:txbxContent>
                      <w:p w14:paraId="5EF6B0B9" w14:textId="77777777" w:rsidR="0055526B" w:rsidRDefault="0055526B">
                        <w:pPr>
                          <w:pStyle w:val="Body"/>
                        </w:pPr>
                        <w:r>
                          <w:rPr>
                            <w:sz w:val="20"/>
                            <w:szCs w:val="20"/>
                            <w:lang w:val="fr-FR"/>
                          </w:rPr>
                          <w:t>Resources</w:t>
                        </w:r>
                      </w:p>
                    </w:txbxContent>
                  </v:textbox>
                </v:rect>
                <v:group id="Group 1073741839" o:spid="_x0000_s1036" style="position:absolute;left:1828799;top:1708149;width:1371601;height:342901" coordsize="1371600,3429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">
                  <v:rect id="Shape 1073741837" o:spid="_x0000_s1037" style="position:absolute;width:13716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" fillcolor="#d99694" stroked="f" strokeweight="1pt">
                    <v:stroke miterlimit="4"/>
                  </v:rect>
                  <v:rect id="Shape 1073741838" o:spid="_x0000_s1038" style="position:absolute;width:13716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" fillcolor="#eb8400" stroked="f" strokeweight="1pt">
                    <v:stroke miterlimit="4"/>
                    <v:textbox inset="45719emu,45719emu,45719emu,45719emu">
                      <w:txbxContent>
                        <w:p w14:paraId="7E3E3507" w14:textId="77777777" w:rsidR="0055526B" w:rsidRDefault="0055526B">
                          <w:pPr>
                            <w:pStyle w:val="Body"/>
                          </w:pPr>
                          <w:r>
                            <w:rPr>
                              <w:sz w:val="18"/>
                              <w:szCs w:val="18"/>
                            </w:rPr>
                            <w:t>Economic performance</w:t>
                          </w:r>
                        </w:p>
                      </w:txbxContent>
                    </v:textbox>
                  </v:rect>
                </v:group>
                <v:group id="Group 1073741842" o:spid="_x0000_s1039" style="position:absolute;left:1714500;top:2165349;width:1714500;height:228601" coordsize="1714500,2286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AV2i1/xwAAAOMA&#10;AAAPAAAAAAAAAAAAAAAAAKkCAABkcnMvZG93bnJldi54bWxQSwUGAAAAAAQABAD6AAAAnQMAAAAA&#10;">
                  <v:rect id="Shape 1073741840" o:spid="_x0000_s1040" style="position:absolute;width:17145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" fillcolor="#d99694" stroked="f" strokeweight="1pt">
                    <v:stroke miterlimit="4"/>
                  </v:rect>
                  <v:rect id="Shape 1073741841" o:spid="_x0000_s1041" style="position:absolute;width:1714500;height:228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NKkZxQAA&#10;AOMAAAAPAAAAZHJzL2Rvd25yZXYueG1sRE/NisIwEL4v+A5hhL2taVVUqlGKrKxXXQ8ex2ZsS5tJ&#10;bbJafXojCHuc738Wq87U4kqtKy0riAcRCOLM6pJzBYffzdcMhPPIGmvLpOBODlbL3scCE21vvKPr&#10;3ucihLBLUEHhfZNI6bKCDLqBbYgDd7atQR/ONpe6xVsIN7UcRtFEGiw5NBTY0LqgrNr/GQX2kZ4q&#10;c7mn7oBHbaut/Pk+S6U++106B+Gp8//it3urw/xoOpqO49k4htdPAQC5fA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s0qRnFAAAA4wAAAA8AAAAAAAAAAAAAAAAAlwIAAGRycy9k&#10;b3ducmV2LnhtbFBLBQYAAAAABAAEAPUAAACJAwAAAAA=&#10;" fillcolor="#eb8400" stroked="f" strokeweight="1pt">
                    <v:stroke miterlimit="4"/>
                    <v:textbox inset="45719emu,45719emu,45719emu,45719emu">
                      <w:txbxContent>
                        <w:p w14:paraId="1BF32AE9" w14:textId="77777777" w:rsidR="0055526B" w:rsidRDefault="0055526B">
                          <w:pPr>
                            <w:pStyle w:val="Body"/>
                          </w:pPr>
                          <w:r>
                            <w:rPr>
                              <w:sz w:val="18"/>
                              <w:szCs w:val="18"/>
                            </w:rPr>
                            <w:t>Performance of other systems</w:t>
                          </w:r>
                        </w:p>
                      </w:txbxContent>
                    </v:textbox>
                  </v:rect>
                </v:group>
                <v:rect id="Shape 1073741843" o:spid="_x0000_s1042" style="position:absolute;left:2172335;top:2531746;width:800100;height:4572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n/iwxwAA&#10;AOMAAAAPAAAAZHJzL2Rvd25yZXYueG1sRE9fT8IwEH838Ts0Z+KbtGNTYFAIIWJMeBL9AJf1WAfr&#10;dVk7mN/empj4eL//t9qMrhVX6kPjWUM2USCIK28arjV8fe6f5iBCRDbYeiYN3xRgs76/W2Fp/I0/&#10;6HqMtUghHErUYGPsSilDZclhmPiOOHEn3zuM6exraXq8pXDXyqlSL9Jhw6nBYkc7S9XlODgNMjvk&#10;7cINi+loh9e8UM/n/Vun9ePDuF2CiDTGf/Gf+92k+WqWz4psXuTw+1MCQK5/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mp/4sMcAAADjAAAADwAAAAAAAAAAAAAAAACXAgAAZHJz&#10;L2Rvd25yZXYueG1sUEsFBgAAAAAEAAQA9QAAAIsDAAAAAA==&#10;" filled="f" stroked="f" strokeweight="1pt">
                  <v:stroke miterlimit="4"/>
                  <v:textbox inset="45719emu,45719emu,45719emu,45719emu">
                    <w:txbxContent>
                      <w:p w14:paraId="5F6E8101" w14:textId="77777777" w:rsidR="0055526B" w:rsidRDefault="0055526B">
                        <w:pPr>
                          <w:pStyle w:val="Body"/>
                        </w:pPr>
                        <w:r>
                          <w:rPr>
                            <w:sz w:val="20"/>
                            <w:szCs w:val="20"/>
                          </w:rPr>
                          <w:t>Human systems</w:t>
                        </w:r>
                      </w:p>
                    </w:txbxContent>
                  </v:textbox>
                </v:rect>
                <v:rect id="Shape 1073741844" o:spid="_x0000_s1043" style="position:absolute;left:1485900;top:342899;width:2171700;height:3429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dmDExwAA&#10;AOMAAAAPAAAAZHJzL2Rvd25yZXYueG1sRE9fT8IwEH838Ts0Z+KbtGNTYFAIIWJMeBL9AJf1WAfr&#10;dVk7mN/empj4eL//t9qMrhVX6kPjWUM2USCIK28arjV8fe6f5iBCRDbYeiYN3xRgs76/W2Fp/I0/&#10;6HqMtUghHErUYGPsSilDZclhmPiOOHEn3zuM6exraXq8pXDXyqlSL9Jhw6nBYkc7S9XlODgNMjvk&#10;7cINi+loh9e8UM/n/Vun9ePDuF2CiDTGf/Gf+92k+WqWz4psXhTw+1MCQK5/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FXZgxMcAAADjAAAADwAAAAAAAAAAAAAAAACXAgAAZHJz&#10;L2Rvd25yZXYueG1sUEsFBgAAAAAEAAQA9QAAAIsDAAAAAA==&#10;" filled="f" stroked="f" strokeweight="1pt">
                  <v:stroke miterlimit="4"/>
                  <v:textbox inset="45719emu,45719emu,45719emu,45719emu">
                    <w:txbxContent>
                      <w:p w14:paraId="1FEA78C3" w14:textId="77777777" w:rsidR="0055526B" w:rsidRDefault="0055526B">
                        <w:pPr>
                          <w:pStyle w:val="Body"/>
                        </w:pPr>
                        <w:r>
                          <w:t>Sustainable wellbeing</w:t>
                        </w:r>
                      </w:p>
                    </w:txbxContent>
                  </v:textbox>
                </v:rect>
                <v:line id="Shape 1073741845" o:spid="_x0000_s1044" style="position:absolute;visibility:visible;mso-wrap-style:square" from="1257299,1371599" to="1714500,17145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" strokecolor="#4f81bd" strokeweight="2pt">
                  <v:stroke endarrow="block"/>
                  <v:shadow on="t" opacity="24903f" origin=",.5" offset="0,20000emu"/>
                </v:line>
                <v:line id="Shape 1073741846" o:spid="_x0000_s1045" style="position:absolute;flip:y;visibility:visible;mso-wrap-style:square" from="3429000,1250949" to="4000501,17081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" strokecolor="#4f81bd" strokeweight="2pt">
                  <v:stroke endarrow="block"/>
                  <v:shadow on="t" opacity="24903f" origin=",.5" offset="0,20000emu"/>
                </v:line>
                <v:line id="Shape 1073741847" o:spid="_x0000_s1046" style="position:absolute;visibility:visible;mso-wrap-style:square" from="1485900,685799" to="3657601,685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n1ELccAAADjAAAADwAAAGRycy9kb3ducmV2LnhtbERPzWrCQBC+F/oOyxR6q5tYMRpdpURF&#10;T4K2IN6G7JjEZmdDdtX49t2C4HG+/5nOO1OLK7Wusqwg7kUgiHOrKy4U/HyvPkYgnEfWWFsmBXdy&#10;MJ+9vkwx1fbGO7rufSFCCLsUFZTeN6mULi/JoOvZhjhwJ9sa9OFsC6lbvIVwU8t+FA2lwYpDQ4kN&#10;ZSXlv/uLUZDx4dwtD+vj+BIv/JZstT3lmVLvb93XBISnzj/FD/dGh/lR8pkM4tEggf+fAgBy9gc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6fUQtxwAAAOMAAAAPAAAAAAAA&#10;AAAAAAAAAKECAABkcnMvZG93bnJldi54bWxQSwUGAAAAAAQABAD5AAAAlQMAAAAA&#10;" strokecolor="#4f81bd" strokeweight="2pt">
                  <v:shadow on="t" opacity="24903f" origin=",.5" offset="0,20000emu"/>
                </v:line>
                <w10:anchorlock/>
              </v:group>
            </w:pict>
          </mc:Fallback>
        </mc:AlternateContent>
      </w:r>
      <w:r w:rsidR="00120876" w:rsidRPr="0093704C">
        <w:rPr>
          <w:rFonts w:ascii="Verdana" w:hAnsi="Verdana" w:cs="Times New Roman"/>
          <w:sz w:val="22"/>
          <w:szCs w:val="22"/>
        </w:rPr>
        <w:t>As well as</w:t>
      </w:r>
      <w:r w:rsidR="00AB4F16" w:rsidRPr="0093704C">
        <w:rPr>
          <w:rFonts w:ascii="Verdana" w:hAnsi="Verdana" w:cs="Times New Roman"/>
          <w:sz w:val="22"/>
          <w:szCs w:val="22"/>
        </w:rPr>
        <w:t xml:space="preserve"> in-depth measurement within each of the spheres</w:t>
      </w:r>
      <w:r w:rsidR="00120876" w:rsidRPr="0093704C">
        <w:rPr>
          <w:rFonts w:ascii="Verdana" w:hAnsi="Verdana" w:cs="Times New Roman"/>
          <w:sz w:val="22"/>
          <w:szCs w:val="22"/>
        </w:rPr>
        <w:t>, the following</w:t>
      </w:r>
      <w:r w:rsidR="00AB4F16" w:rsidRPr="0093704C">
        <w:rPr>
          <w:rFonts w:ascii="Verdana" w:hAnsi="Verdana" w:cs="Times New Roman"/>
          <w:sz w:val="22"/>
          <w:szCs w:val="22"/>
        </w:rPr>
        <w:t xml:space="preserve"> 5 key headline indicators </w:t>
      </w:r>
      <w:r w:rsidR="00120876" w:rsidRPr="0093704C">
        <w:rPr>
          <w:rFonts w:ascii="Verdana" w:hAnsi="Verdana" w:cs="Times New Roman"/>
          <w:sz w:val="22"/>
          <w:szCs w:val="22"/>
        </w:rPr>
        <w:t xml:space="preserve">are suggested </w:t>
      </w:r>
      <w:r w:rsidR="00AB4F16" w:rsidRPr="0093704C">
        <w:rPr>
          <w:rFonts w:ascii="Verdana" w:hAnsi="Verdana" w:cs="Times New Roman"/>
          <w:sz w:val="22"/>
          <w:szCs w:val="22"/>
        </w:rPr>
        <w:t>to provide an overall picture:</w:t>
      </w:r>
    </w:p>
    <w:p w14:paraId="6E6EA9F2" w14:textId="42F46FE3" w:rsidR="0045389F" w:rsidRPr="0093704C" w:rsidRDefault="00AB4F16" w:rsidP="0077067E">
      <w:pPr>
        <w:pStyle w:val="ListParagraph"/>
        <w:numPr>
          <w:ilvl w:val="0"/>
          <w:numId w:val="19"/>
        </w:numPr>
        <w:tabs>
          <w:tab w:val="num" w:pos="720"/>
        </w:tabs>
        <w:ind w:hanging="360"/>
        <w:rPr>
          <w:rFonts w:ascii="Verdana" w:hAnsi="Verdana" w:cs="Times New Roman"/>
          <w:sz w:val="22"/>
          <w:szCs w:val="22"/>
        </w:rPr>
      </w:pPr>
      <w:r w:rsidRPr="0093704C">
        <w:rPr>
          <w:rFonts w:ascii="Verdana" w:hAnsi="Verdana" w:cs="Times New Roman"/>
          <w:sz w:val="22"/>
          <w:szCs w:val="22"/>
        </w:rPr>
        <w:t>Measure of environmental pressure per capita  (resource sphere);</w:t>
      </w:r>
    </w:p>
    <w:p w14:paraId="267A9962" w14:textId="77777777" w:rsidR="0045389F" w:rsidRPr="0093704C" w:rsidRDefault="00AB4F16" w:rsidP="0077067E">
      <w:pPr>
        <w:pStyle w:val="ListParagraph"/>
        <w:numPr>
          <w:ilvl w:val="0"/>
          <w:numId w:val="20"/>
        </w:numPr>
        <w:tabs>
          <w:tab w:val="num" w:pos="720"/>
        </w:tabs>
        <w:ind w:hanging="360"/>
        <w:rPr>
          <w:rFonts w:ascii="Verdana" w:hAnsi="Verdana" w:cs="Times New Roman"/>
          <w:sz w:val="22"/>
          <w:szCs w:val="22"/>
        </w:rPr>
      </w:pPr>
      <w:r w:rsidRPr="0093704C">
        <w:rPr>
          <w:rFonts w:ascii="Verdana" w:hAnsi="Verdana" w:cs="Times New Roman"/>
          <w:sz w:val="22"/>
          <w:szCs w:val="22"/>
        </w:rPr>
        <w:t>Measure of the percentage of the population flourishing (goals sphere);</w:t>
      </w:r>
    </w:p>
    <w:p w14:paraId="485B10CE" w14:textId="77777777" w:rsidR="0045389F" w:rsidRPr="0093704C" w:rsidRDefault="00AB4F16" w:rsidP="0077067E">
      <w:pPr>
        <w:pStyle w:val="ListParagraph"/>
        <w:numPr>
          <w:ilvl w:val="0"/>
          <w:numId w:val="21"/>
        </w:numPr>
        <w:tabs>
          <w:tab w:val="num" w:pos="720"/>
        </w:tabs>
        <w:ind w:hanging="360"/>
        <w:rPr>
          <w:rFonts w:ascii="Verdana" w:hAnsi="Verdana" w:cs="Times New Roman"/>
          <w:sz w:val="22"/>
          <w:szCs w:val="22"/>
        </w:rPr>
      </w:pPr>
      <w:r w:rsidRPr="0093704C">
        <w:rPr>
          <w:rFonts w:ascii="Verdana" w:hAnsi="Verdana" w:cs="Times New Roman"/>
          <w:sz w:val="22"/>
          <w:szCs w:val="22"/>
        </w:rPr>
        <w:t>Measure of economic performance – how the economy is doing in delivering sustainability and wellbeing for all (economic part of the human systems sphere);</w:t>
      </w:r>
    </w:p>
    <w:p w14:paraId="68A07E42" w14:textId="77777777" w:rsidR="0045389F" w:rsidRPr="0093704C" w:rsidRDefault="00AB4F16" w:rsidP="0077067E">
      <w:pPr>
        <w:pStyle w:val="ListParagraph"/>
        <w:numPr>
          <w:ilvl w:val="0"/>
          <w:numId w:val="22"/>
        </w:numPr>
        <w:tabs>
          <w:tab w:val="num" w:pos="720"/>
        </w:tabs>
        <w:ind w:hanging="360"/>
        <w:rPr>
          <w:rFonts w:ascii="Verdana" w:hAnsi="Verdana" w:cs="Times New Roman"/>
          <w:sz w:val="22"/>
          <w:szCs w:val="22"/>
        </w:rPr>
      </w:pPr>
      <w:r w:rsidRPr="0093704C">
        <w:rPr>
          <w:rFonts w:ascii="Verdana" w:hAnsi="Verdana" w:cs="Times New Roman"/>
          <w:sz w:val="22"/>
          <w:szCs w:val="22"/>
        </w:rPr>
        <w:t>Measure or set of measures of the other human systems;</w:t>
      </w:r>
    </w:p>
    <w:p w14:paraId="7018987E" w14:textId="05002AD3" w:rsidR="0045389F" w:rsidRPr="0093704C" w:rsidRDefault="00AB4F16" w:rsidP="0077067E">
      <w:pPr>
        <w:pStyle w:val="ListParagraph"/>
        <w:numPr>
          <w:ilvl w:val="0"/>
          <w:numId w:val="23"/>
        </w:numPr>
        <w:tabs>
          <w:tab w:val="num" w:pos="720"/>
        </w:tabs>
        <w:ind w:hanging="360"/>
        <w:rPr>
          <w:rFonts w:ascii="Verdana" w:hAnsi="Verdana" w:cs="Times New Roman"/>
          <w:sz w:val="22"/>
          <w:szCs w:val="22"/>
        </w:rPr>
      </w:pPr>
      <w:r w:rsidRPr="0093704C">
        <w:rPr>
          <w:rFonts w:ascii="Verdana" w:hAnsi="Verdana" w:cs="Times New Roman"/>
          <w:sz w:val="22"/>
          <w:szCs w:val="22"/>
        </w:rPr>
        <w:t>Measure of wellbeing per unit of environmen</w:t>
      </w:r>
      <w:r w:rsidR="000A0ADE">
        <w:rPr>
          <w:rFonts w:ascii="Verdana" w:hAnsi="Verdana" w:cs="Times New Roman"/>
          <w:sz w:val="22"/>
          <w:szCs w:val="22"/>
        </w:rPr>
        <w:t>tal pressure, such as the Happy</w:t>
      </w:r>
      <w:r w:rsidRPr="0093704C">
        <w:rPr>
          <w:rFonts w:ascii="Verdana" w:hAnsi="Verdana" w:cs="Times New Roman"/>
          <w:sz w:val="22"/>
          <w:szCs w:val="22"/>
        </w:rPr>
        <w:t xml:space="preserve"> Planet Index, connecting the resources and goals sphere.</w:t>
      </w:r>
    </w:p>
    <w:p w14:paraId="7A9F16E7" w14:textId="77777777" w:rsidR="0045389F" w:rsidRDefault="0045389F">
      <w:pPr>
        <w:pStyle w:val="Body"/>
        <w:rPr>
          <w:rFonts w:ascii="Verdana" w:hAnsi="Verdana" w:cs="Times New Roman"/>
          <w:b/>
          <w:bCs/>
          <w:sz w:val="22"/>
          <w:szCs w:val="22"/>
        </w:rPr>
      </w:pPr>
    </w:p>
    <w:p w14:paraId="44CCB398" w14:textId="77777777" w:rsidR="00950E2A" w:rsidRDefault="00950E2A">
      <w:pPr>
        <w:pStyle w:val="Body"/>
        <w:rPr>
          <w:rFonts w:ascii="Verdana" w:hAnsi="Verdana" w:cs="Times New Roman"/>
          <w:b/>
          <w:bCs/>
          <w:sz w:val="22"/>
          <w:szCs w:val="22"/>
        </w:rPr>
      </w:pPr>
    </w:p>
    <w:p w14:paraId="7C12B431" w14:textId="77777777" w:rsidR="00950E2A" w:rsidRPr="0093704C" w:rsidRDefault="00950E2A">
      <w:pPr>
        <w:pStyle w:val="Body"/>
        <w:rPr>
          <w:rFonts w:ascii="Verdana" w:hAnsi="Verdana" w:cs="Times New Roman"/>
          <w:b/>
          <w:bCs/>
          <w:sz w:val="22"/>
          <w:szCs w:val="22"/>
        </w:rPr>
      </w:pPr>
    </w:p>
    <w:p w14:paraId="2D324E77" w14:textId="7D5685BC" w:rsidR="0045389F" w:rsidRPr="0093704C" w:rsidRDefault="003442B7" w:rsidP="005805B9">
      <w:pPr>
        <w:pStyle w:val="Body"/>
        <w:rPr>
          <w:rFonts w:ascii="Verdana" w:hAnsi="Verdana" w:cs="Times New Roman"/>
          <w:b/>
          <w:bCs/>
          <w:sz w:val="22"/>
          <w:szCs w:val="22"/>
        </w:rPr>
      </w:pPr>
      <w:r w:rsidRPr="0093704C">
        <w:rPr>
          <w:rFonts w:ascii="Verdana" w:hAnsi="Verdana" w:cs="Times New Roman"/>
          <w:b/>
          <w:bCs/>
          <w:sz w:val="22"/>
          <w:szCs w:val="22"/>
        </w:rPr>
        <w:lastRenderedPageBreak/>
        <w:t>4.3</w:t>
      </w:r>
      <w:r w:rsidR="00AB4F16" w:rsidRPr="0093704C">
        <w:rPr>
          <w:rFonts w:ascii="Verdana" w:hAnsi="Verdana" w:cs="Times New Roman"/>
          <w:b/>
          <w:bCs/>
          <w:sz w:val="22"/>
          <w:szCs w:val="22"/>
        </w:rPr>
        <w:t xml:space="preserve">3 </w:t>
      </w:r>
      <w:r w:rsidR="00AB4F16" w:rsidRPr="0093704C">
        <w:rPr>
          <w:rFonts w:ascii="Verdana" w:hAnsi="Verdana" w:cs="Times New Roman"/>
          <w:b/>
          <w:bCs/>
          <w:sz w:val="22"/>
          <w:szCs w:val="22"/>
        </w:rPr>
        <w:tab/>
        <w:t>The OECD Better Life Index</w:t>
      </w:r>
    </w:p>
    <w:p w14:paraId="7DF8E8D1"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The OECD Better Life Index is another initiative attempting to put wellbeing objectives into the context of sustainability.</w:t>
      </w:r>
    </w:p>
    <w:p w14:paraId="5108A5F7" w14:textId="77777777" w:rsidR="0045389F" w:rsidRPr="0093704C" w:rsidRDefault="0045389F">
      <w:pPr>
        <w:pStyle w:val="ListParagraph"/>
        <w:ind w:left="0"/>
        <w:rPr>
          <w:rFonts w:ascii="Verdana" w:hAnsi="Verdana" w:cs="Times New Roman"/>
          <w:sz w:val="22"/>
          <w:szCs w:val="22"/>
        </w:rPr>
      </w:pPr>
    </w:p>
    <w:p w14:paraId="53D3E14D" w14:textId="77777777" w:rsidR="0045389F" w:rsidRPr="0093704C" w:rsidRDefault="0045389F">
      <w:pPr>
        <w:pStyle w:val="ListParagraph"/>
        <w:ind w:left="0"/>
        <w:rPr>
          <w:rFonts w:ascii="Verdana" w:hAnsi="Verdana" w:cs="Times New Roman"/>
          <w:sz w:val="22"/>
          <w:szCs w:val="22"/>
        </w:rPr>
      </w:pPr>
    </w:p>
    <w:p w14:paraId="02772862"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noProof/>
          <w:sz w:val="22"/>
          <w:szCs w:val="22"/>
        </w:rPr>
        <w:drawing>
          <wp:inline distT="0" distB="0" distL="0" distR="0" wp14:anchorId="601DDC03" wp14:editId="748E3E52">
            <wp:extent cx="5270500" cy="3501424"/>
            <wp:effectExtent l="0" t="0" r="0" b="0"/>
            <wp:docPr id="1073741849" name="officeArt object"/>
            <wp:cNvGraphicFramePr/>
            <a:graphic xmlns:a="http://schemas.openxmlformats.org/drawingml/2006/main">
              <a:graphicData uri="http://schemas.openxmlformats.org/drawingml/2006/picture">
                <pic:pic xmlns:pic="http://schemas.openxmlformats.org/drawingml/2006/picture">
                  <pic:nvPicPr>
                    <pic:cNvPr id="1073741849" name="image1.png"/>
                    <pic:cNvPicPr/>
                  </pic:nvPicPr>
                  <pic:blipFill>
                    <a:blip r:embed="rId18">
                      <a:extLst/>
                    </a:blip>
                    <a:stretch>
                      <a:fillRect/>
                    </a:stretch>
                  </pic:blipFill>
                  <pic:spPr>
                    <a:xfrm>
                      <a:off x="0" y="0"/>
                      <a:ext cx="5270500" cy="3501424"/>
                    </a:xfrm>
                    <a:prstGeom prst="rect">
                      <a:avLst/>
                    </a:prstGeom>
                    <a:ln w="12700" cap="flat">
                      <a:noFill/>
                      <a:miter lim="400000"/>
                    </a:ln>
                    <a:effectLst/>
                  </pic:spPr>
                </pic:pic>
              </a:graphicData>
            </a:graphic>
          </wp:inline>
        </w:drawing>
      </w:r>
    </w:p>
    <w:p w14:paraId="3054F02C" w14:textId="77777777" w:rsidR="0045389F" w:rsidRPr="0093704C" w:rsidRDefault="00AB4F16">
      <w:pPr>
        <w:pStyle w:val="ListParagraph"/>
        <w:ind w:left="0"/>
        <w:rPr>
          <w:rFonts w:ascii="Verdana" w:hAnsi="Verdana" w:cs="Times New Roman"/>
          <w:sz w:val="22"/>
          <w:szCs w:val="22"/>
        </w:rPr>
      </w:pPr>
      <w:r w:rsidRPr="0093704C">
        <w:rPr>
          <w:rFonts w:ascii="Verdana" w:hAnsi="Verdana" w:cs="Times New Roman"/>
          <w:i/>
          <w:iCs/>
          <w:sz w:val="22"/>
          <w:szCs w:val="22"/>
        </w:rPr>
        <w:t>Linking capital stocks, flows and wellbeing outcomes in the OECD wellbeing framework</w:t>
      </w:r>
      <w:r w:rsidRPr="0093704C">
        <w:rPr>
          <w:rFonts w:ascii="Verdana" w:eastAsia="Times New Roman" w:hAnsi="Verdana" w:cs="Times New Roman"/>
          <w:i/>
          <w:iCs/>
          <w:sz w:val="22"/>
          <w:szCs w:val="22"/>
          <w:vertAlign w:val="superscript"/>
        </w:rPr>
        <w:footnoteReference w:id="42"/>
      </w:r>
      <w:r w:rsidRPr="0093704C">
        <w:rPr>
          <w:rFonts w:ascii="Verdana" w:hAnsi="Verdana" w:cs="Times New Roman"/>
          <w:sz w:val="22"/>
          <w:szCs w:val="22"/>
        </w:rPr>
        <w:t xml:space="preserve">.  </w:t>
      </w:r>
    </w:p>
    <w:p w14:paraId="458EA725" w14:textId="77777777" w:rsidR="0045389F" w:rsidRPr="0093704C" w:rsidRDefault="0045389F">
      <w:pPr>
        <w:pStyle w:val="ListParagraph"/>
        <w:ind w:left="0"/>
        <w:rPr>
          <w:rFonts w:ascii="Verdana" w:hAnsi="Verdana" w:cs="Times New Roman"/>
          <w:sz w:val="22"/>
          <w:szCs w:val="22"/>
        </w:rPr>
      </w:pPr>
    </w:p>
    <w:p w14:paraId="0CAF1B26" w14:textId="77777777"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It is based on the UNECE/Eurostat/OECD Task Force for Measuring Sustainable Development (TFSD) recommendation that a capital approach be used for assessing wellbeing in the future.  The How</w:t>
      </w:r>
      <w:r w:rsidRPr="0093704C">
        <w:rPr>
          <w:rFonts w:ascii="Verdana" w:hAnsi="Verdana" w:cs="Times New Roman"/>
          <w:sz w:val="22"/>
          <w:szCs w:val="22"/>
          <w:lang w:val="fr-FR"/>
        </w:rPr>
        <w:t>’</w:t>
      </w:r>
      <w:r w:rsidRPr="0093704C">
        <w:rPr>
          <w:rFonts w:ascii="Verdana" w:hAnsi="Verdana" w:cs="Times New Roman"/>
          <w:sz w:val="22"/>
          <w:szCs w:val="22"/>
        </w:rPr>
        <w:t>s Life, 2013 report discusses the definitions and scopes of different types of capital and how levels of these stocks can be assessed.  It calls for a dashboard of both physical and monetary measures and the distribution of stocks between sectors, groups or special areas to be considered.  Beyond indicators that enable ‘</w:t>
      </w:r>
      <w:r w:rsidRPr="0093704C">
        <w:rPr>
          <w:rFonts w:ascii="Verdana" w:hAnsi="Verdana" w:cs="Times New Roman"/>
          <w:sz w:val="22"/>
          <w:szCs w:val="22"/>
          <w:lang w:val="fr-FR"/>
        </w:rPr>
        <w:t xml:space="preserve">core’ </w:t>
      </w:r>
      <w:r w:rsidRPr="0093704C">
        <w:rPr>
          <w:rFonts w:ascii="Verdana" w:hAnsi="Verdana" w:cs="Times New Roman"/>
          <w:sz w:val="22"/>
          <w:szCs w:val="22"/>
        </w:rPr>
        <w:t>capital stocks to be monitored, an additional set of ‘policy relevant indicators</w:t>
      </w:r>
      <w:r w:rsidRPr="0093704C">
        <w:rPr>
          <w:rFonts w:ascii="Verdana" w:hAnsi="Verdana" w:cs="Times New Roman"/>
          <w:sz w:val="22"/>
          <w:szCs w:val="22"/>
          <w:lang w:val="fr-FR"/>
        </w:rPr>
        <w:t xml:space="preserve">’ </w:t>
      </w:r>
      <w:r w:rsidRPr="0093704C">
        <w:rPr>
          <w:rFonts w:ascii="Verdana" w:hAnsi="Verdana" w:cs="Times New Roman"/>
          <w:sz w:val="22"/>
          <w:szCs w:val="22"/>
        </w:rPr>
        <w:t>can provide information to decision makers about what can drive changes to capital stocks and assist policy makers in their management.  The report notes that much analytical and statistical work is needed to select a concise set of indicators that accurately reflect those aspects of capital stocks, and their changes over time, which have the greatest relevance to future wellbeing.</w:t>
      </w:r>
    </w:p>
    <w:p w14:paraId="34B13914" w14:textId="77777777" w:rsidR="0045389F" w:rsidRPr="0093704C" w:rsidRDefault="0045389F">
      <w:pPr>
        <w:pStyle w:val="Body"/>
        <w:rPr>
          <w:rFonts w:ascii="Verdana" w:hAnsi="Verdana" w:cs="Times New Roman"/>
          <w:sz w:val="22"/>
          <w:szCs w:val="22"/>
        </w:rPr>
      </w:pPr>
    </w:p>
    <w:p w14:paraId="0DE7778E" w14:textId="77777777" w:rsidR="0045389F" w:rsidRPr="0093704C" w:rsidRDefault="0045389F">
      <w:pPr>
        <w:pStyle w:val="Body"/>
        <w:rPr>
          <w:rFonts w:ascii="Verdana" w:hAnsi="Verdana" w:cs="Times New Roman"/>
          <w:sz w:val="22"/>
          <w:szCs w:val="22"/>
        </w:rPr>
      </w:pPr>
    </w:p>
    <w:p w14:paraId="18E78DFC" w14:textId="7B557089" w:rsidR="0045389F" w:rsidRPr="0093704C" w:rsidRDefault="003442B7">
      <w:pPr>
        <w:pStyle w:val="Body"/>
        <w:rPr>
          <w:rFonts w:ascii="Verdana" w:hAnsi="Verdana" w:cs="Times New Roman"/>
          <w:b/>
          <w:bCs/>
          <w:sz w:val="22"/>
          <w:szCs w:val="22"/>
        </w:rPr>
      </w:pPr>
      <w:r w:rsidRPr="0093704C">
        <w:rPr>
          <w:rFonts w:ascii="Verdana" w:hAnsi="Verdana" w:cs="Times New Roman"/>
          <w:b/>
          <w:bCs/>
          <w:sz w:val="22"/>
          <w:szCs w:val="22"/>
        </w:rPr>
        <w:t>4.3</w:t>
      </w:r>
      <w:r w:rsidR="00AB4F16" w:rsidRPr="0093704C">
        <w:rPr>
          <w:rFonts w:ascii="Verdana" w:hAnsi="Verdana" w:cs="Times New Roman"/>
          <w:b/>
          <w:bCs/>
          <w:sz w:val="22"/>
          <w:szCs w:val="22"/>
        </w:rPr>
        <w:t>4</w:t>
      </w:r>
      <w:r w:rsidR="00AB4F16" w:rsidRPr="0093704C">
        <w:rPr>
          <w:rFonts w:ascii="Verdana" w:hAnsi="Verdana" w:cs="Times New Roman"/>
          <w:b/>
          <w:bCs/>
          <w:sz w:val="22"/>
          <w:szCs w:val="22"/>
        </w:rPr>
        <w:tab/>
        <w:t>Oxfam</w:t>
      </w:r>
      <w:r w:rsidR="00AB4F16" w:rsidRPr="0093704C">
        <w:rPr>
          <w:rFonts w:ascii="Verdana" w:hAnsi="Verdana" w:cs="Times New Roman"/>
          <w:b/>
          <w:bCs/>
          <w:sz w:val="22"/>
          <w:szCs w:val="22"/>
          <w:lang w:val="fr-FR"/>
        </w:rPr>
        <w:t>’</w:t>
      </w:r>
      <w:r w:rsidR="00AB4F16" w:rsidRPr="0093704C">
        <w:rPr>
          <w:rFonts w:ascii="Verdana" w:hAnsi="Verdana" w:cs="Times New Roman"/>
          <w:b/>
          <w:bCs/>
          <w:sz w:val="22"/>
          <w:szCs w:val="22"/>
        </w:rPr>
        <w:t xml:space="preserve">s Doughnut   </w:t>
      </w:r>
    </w:p>
    <w:p w14:paraId="063ECD19" w14:textId="2DF3A894" w:rsidR="0045389F" w:rsidRPr="0093704C" w:rsidRDefault="00AB4F16">
      <w:pPr>
        <w:pStyle w:val="Body"/>
        <w:rPr>
          <w:rFonts w:ascii="Verdana" w:hAnsi="Verdana" w:cs="Times New Roman"/>
          <w:sz w:val="22"/>
          <w:szCs w:val="22"/>
        </w:rPr>
      </w:pPr>
      <w:r w:rsidRPr="0093704C">
        <w:rPr>
          <w:rFonts w:ascii="Verdana" w:hAnsi="Verdana" w:cs="Times New Roman"/>
          <w:sz w:val="22"/>
          <w:szCs w:val="22"/>
        </w:rPr>
        <w:t>O</w:t>
      </w:r>
      <w:r w:rsidR="00E97390" w:rsidRPr="0093704C">
        <w:rPr>
          <w:rFonts w:ascii="Verdana" w:hAnsi="Verdana" w:cs="Times New Roman"/>
          <w:sz w:val="22"/>
          <w:szCs w:val="22"/>
        </w:rPr>
        <w:t>x</w:t>
      </w:r>
      <w:r w:rsidRPr="0093704C">
        <w:rPr>
          <w:rFonts w:ascii="Verdana" w:hAnsi="Verdana" w:cs="Times New Roman"/>
          <w:sz w:val="22"/>
          <w:szCs w:val="22"/>
        </w:rPr>
        <w:t>fam</w:t>
      </w:r>
      <w:r w:rsidRPr="0093704C">
        <w:rPr>
          <w:rFonts w:ascii="Verdana" w:hAnsi="Verdana" w:cs="Times New Roman"/>
          <w:sz w:val="22"/>
          <w:szCs w:val="22"/>
          <w:lang w:val="fr-FR"/>
        </w:rPr>
        <w:t>’</w:t>
      </w:r>
      <w:r w:rsidRPr="0093704C">
        <w:rPr>
          <w:rFonts w:ascii="Verdana" w:hAnsi="Verdana" w:cs="Times New Roman"/>
          <w:sz w:val="22"/>
          <w:szCs w:val="22"/>
        </w:rPr>
        <w:t xml:space="preserve">s doughnut approach brings together the aims of eradicating poverty with environmental sustainability.  The diagram below shows nine </w:t>
      </w:r>
      <w:r w:rsidRPr="0093704C">
        <w:rPr>
          <w:rFonts w:ascii="Verdana" w:hAnsi="Verdana" w:cs="Times New Roman"/>
          <w:sz w:val="22"/>
          <w:szCs w:val="22"/>
        </w:rPr>
        <w:lastRenderedPageBreak/>
        <w:t>Earth-system processes that are critical for keeping Earth in a stable state</w:t>
      </w:r>
      <w:r w:rsidR="00120876" w:rsidRPr="0093704C">
        <w:rPr>
          <w:rFonts w:ascii="Verdana" w:hAnsi="Verdana" w:cs="Times New Roman"/>
          <w:sz w:val="22"/>
          <w:szCs w:val="22"/>
        </w:rPr>
        <w:t xml:space="preserve"> and which, taken together, </w:t>
      </w:r>
      <w:r w:rsidRPr="0093704C">
        <w:rPr>
          <w:rFonts w:ascii="Verdana" w:hAnsi="Verdana" w:cs="Times New Roman"/>
          <w:sz w:val="22"/>
          <w:szCs w:val="22"/>
        </w:rPr>
        <w:t>constitute an environmental ceiling.  In the middle is the social foundation below which lies unacceptable human deprivation.  The space in between, the green ring, represents the ‘safe and just space</w:t>
      </w:r>
      <w:r w:rsidRPr="0093704C">
        <w:rPr>
          <w:rFonts w:ascii="Verdana" w:hAnsi="Verdana" w:cs="Times New Roman"/>
          <w:sz w:val="22"/>
          <w:szCs w:val="22"/>
          <w:lang w:val="fr-FR"/>
        </w:rPr>
        <w:t xml:space="preserve">’ </w:t>
      </w:r>
      <w:r w:rsidRPr="0093704C">
        <w:rPr>
          <w:rFonts w:ascii="Verdana" w:hAnsi="Verdana" w:cs="Times New Roman"/>
          <w:sz w:val="22"/>
          <w:szCs w:val="22"/>
        </w:rPr>
        <w:t xml:space="preserve">in which humanity can operate.  Some of these segments have been assessed and show that we have crossed three of the planetary </w:t>
      </w:r>
      <w:r w:rsidR="00120876" w:rsidRPr="0093704C">
        <w:rPr>
          <w:rFonts w:ascii="Verdana" w:hAnsi="Verdana" w:cs="Times New Roman"/>
          <w:sz w:val="22"/>
          <w:szCs w:val="22"/>
        </w:rPr>
        <w:t xml:space="preserve">environmental </w:t>
      </w:r>
      <w:r w:rsidRPr="0093704C">
        <w:rPr>
          <w:rFonts w:ascii="Verdana" w:hAnsi="Verdana" w:cs="Times New Roman"/>
          <w:sz w:val="22"/>
          <w:szCs w:val="22"/>
        </w:rPr>
        <w:t>boundaries and fall below acceptable levels for several of the social criteria</w:t>
      </w:r>
      <w:r w:rsidRPr="0093704C">
        <w:rPr>
          <w:rFonts w:ascii="Verdana" w:hAnsi="Verdana" w:cs="Times New Roman"/>
          <w:sz w:val="22"/>
          <w:szCs w:val="22"/>
          <w:vertAlign w:val="superscript"/>
        </w:rPr>
        <w:footnoteReference w:id="43"/>
      </w:r>
      <w:r w:rsidRPr="0093704C">
        <w:rPr>
          <w:rFonts w:ascii="Verdana" w:hAnsi="Verdana" w:cs="Times New Roman"/>
          <w:sz w:val="22"/>
          <w:szCs w:val="22"/>
        </w:rPr>
        <w:t>.</w:t>
      </w:r>
    </w:p>
    <w:p w14:paraId="324EF5AD" w14:textId="77777777" w:rsidR="0045389F" w:rsidRPr="0093704C" w:rsidRDefault="0045389F">
      <w:pPr>
        <w:pStyle w:val="Body"/>
        <w:rPr>
          <w:rFonts w:ascii="Verdana" w:hAnsi="Verdana" w:cs="Times New Roman"/>
          <w:b/>
          <w:bCs/>
          <w:sz w:val="22"/>
          <w:szCs w:val="22"/>
        </w:rPr>
      </w:pPr>
    </w:p>
    <w:p w14:paraId="1A33AD2A" w14:textId="77777777" w:rsidR="0045389F" w:rsidRPr="0093704C" w:rsidRDefault="0045389F">
      <w:pPr>
        <w:pStyle w:val="BodyA"/>
        <w:rPr>
          <w:rFonts w:ascii="Verdana" w:eastAsia="Cambria" w:hAnsi="Verdana" w:cs="Times New Roman"/>
        </w:rPr>
      </w:pPr>
    </w:p>
    <w:p w14:paraId="4B86EA64" w14:textId="77777777" w:rsidR="0045389F" w:rsidRPr="0093704C" w:rsidRDefault="00AB4F16">
      <w:pPr>
        <w:pStyle w:val="BodyA"/>
        <w:rPr>
          <w:rFonts w:ascii="Verdana" w:eastAsia="Cambria" w:hAnsi="Verdana" w:cs="Times New Roman"/>
        </w:rPr>
      </w:pPr>
      <w:r w:rsidRPr="0093704C">
        <w:rPr>
          <w:rFonts w:ascii="Verdana" w:eastAsia="Cambria" w:hAnsi="Verdana" w:cs="Times New Roman"/>
          <w:noProof/>
        </w:rPr>
        <w:drawing>
          <wp:inline distT="0" distB="0" distL="0" distR="0" wp14:anchorId="0FF9CAD3" wp14:editId="7CE6BE04">
            <wp:extent cx="3200400" cy="3192512"/>
            <wp:effectExtent l="0" t="0" r="0" b="0"/>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image2.png"/>
                    <pic:cNvPicPr/>
                  </pic:nvPicPr>
                  <pic:blipFill>
                    <a:blip r:embed="rId19">
                      <a:extLst/>
                    </a:blip>
                    <a:stretch>
                      <a:fillRect/>
                    </a:stretch>
                  </pic:blipFill>
                  <pic:spPr>
                    <a:xfrm>
                      <a:off x="0" y="0"/>
                      <a:ext cx="3200400" cy="3192512"/>
                    </a:xfrm>
                    <a:prstGeom prst="rect">
                      <a:avLst/>
                    </a:prstGeom>
                    <a:ln w="12700" cap="flat">
                      <a:noFill/>
                      <a:miter lim="400000"/>
                    </a:ln>
                    <a:effectLst/>
                  </pic:spPr>
                </pic:pic>
              </a:graphicData>
            </a:graphic>
          </wp:inline>
        </w:drawing>
      </w:r>
    </w:p>
    <w:p w14:paraId="11DAD8C5" w14:textId="77777777" w:rsidR="0045389F" w:rsidRPr="0093704C" w:rsidRDefault="0045389F">
      <w:pPr>
        <w:pStyle w:val="BodyA"/>
        <w:rPr>
          <w:rFonts w:ascii="Verdana" w:eastAsia="Cambria" w:hAnsi="Verdana" w:cs="Times New Roman"/>
        </w:rPr>
      </w:pPr>
    </w:p>
    <w:p w14:paraId="13BABA43" w14:textId="668BC71A" w:rsidR="0045389F" w:rsidRPr="0093704C" w:rsidRDefault="003442B7">
      <w:pPr>
        <w:pStyle w:val="BodyA"/>
        <w:rPr>
          <w:rFonts w:ascii="Verdana" w:eastAsia="Cambria" w:hAnsi="Verdana" w:cs="Times New Roman"/>
          <w:b/>
          <w:bCs/>
        </w:rPr>
      </w:pPr>
      <w:r w:rsidRPr="0093704C">
        <w:rPr>
          <w:rFonts w:ascii="Verdana" w:eastAsia="Cambria" w:hAnsi="Verdana" w:cs="Times New Roman"/>
          <w:b/>
          <w:bCs/>
        </w:rPr>
        <w:t>4.3</w:t>
      </w:r>
      <w:r w:rsidR="00AB4F16" w:rsidRPr="0093704C">
        <w:rPr>
          <w:rFonts w:ascii="Verdana" w:eastAsia="Cambria" w:hAnsi="Verdana" w:cs="Times New Roman"/>
          <w:b/>
          <w:bCs/>
        </w:rPr>
        <w:t>5</w:t>
      </w:r>
      <w:r w:rsidR="00AB4F16" w:rsidRPr="0093704C">
        <w:rPr>
          <w:rFonts w:ascii="Verdana" w:eastAsia="Cambria" w:hAnsi="Verdana" w:cs="Times New Roman"/>
          <w:b/>
          <w:bCs/>
        </w:rPr>
        <w:tab/>
        <w:t>ONS</w:t>
      </w:r>
    </w:p>
    <w:p w14:paraId="7D8854C2" w14:textId="1B622FAD" w:rsidR="0045389F" w:rsidRPr="0093704C" w:rsidRDefault="00AB4F16">
      <w:pPr>
        <w:pStyle w:val="BodyA"/>
        <w:rPr>
          <w:rFonts w:ascii="Verdana" w:eastAsia="Cambria" w:hAnsi="Verdana" w:cs="Times New Roman"/>
        </w:rPr>
      </w:pPr>
      <w:r w:rsidRPr="0093704C">
        <w:rPr>
          <w:rFonts w:ascii="Verdana" w:eastAsia="Cambria" w:hAnsi="Verdana" w:cs="Times New Roman"/>
        </w:rPr>
        <w:t>The Office for National Statistics is in the pr</w:t>
      </w:r>
      <w:r w:rsidR="00060D5C" w:rsidRPr="0093704C">
        <w:rPr>
          <w:rFonts w:ascii="Verdana" w:eastAsia="Cambria" w:hAnsi="Verdana" w:cs="Times New Roman"/>
        </w:rPr>
        <w:t>ocess of developing a framework to link an assessment of sustainability to its existing ‘measuring national wellbeing’ indicator set.</w:t>
      </w:r>
      <w:r w:rsidR="008D62D5" w:rsidRPr="0093704C">
        <w:rPr>
          <w:rFonts w:ascii="Verdana" w:eastAsia="Cambria" w:hAnsi="Verdana" w:cs="Times New Roman"/>
        </w:rPr>
        <w:t xml:space="preserve">  </w:t>
      </w:r>
      <w:r w:rsidR="008D62D5" w:rsidRPr="0093704C">
        <w:rPr>
          <w:rFonts w:ascii="Verdana" w:hAnsi="Verdana" w:cs="Times New Roman"/>
        </w:rPr>
        <w:t>This work will take into account the work of others, including OECD and the TFSD, together with Stiglitz recommendations.</w:t>
      </w:r>
    </w:p>
    <w:p w14:paraId="72288E0F" w14:textId="77777777" w:rsidR="0045389F" w:rsidRDefault="0045389F">
      <w:pPr>
        <w:pStyle w:val="BodyA"/>
        <w:rPr>
          <w:rFonts w:ascii="Verdana" w:eastAsia="Cambria" w:hAnsi="Verdana" w:cs="Times New Roman"/>
        </w:rPr>
      </w:pPr>
    </w:p>
    <w:p w14:paraId="72779B9E" w14:textId="77777777" w:rsidR="000A0ADE" w:rsidRPr="0093704C" w:rsidRDefault="000A0ADE">
      <w:pPr>
        <w:pStyle w:val="BodyA"/>
        <w:rPr>
          <w:rFonts w:ascii="Verdana" w:eastAsia="Cambria" w:hAnsi="Verdana" w:cs="Times New Roman"/>
        </w:rPr>
      </w:pPr>
    </w:p>
    <w:p w14:paraId="18DED1C2" w14:textId="20CBC3A9" w:rsidR="0045389F" w:rsidRPr="00950E2A" w:rsidRDefault="003442B7">
      <w:pPr>
        <w:pStyle w:val="BodyA"/>
        <w:rPr>
          <w:rFonts w:ascii="Verdana" w:eastAsia="Cambria" w:hAnsi="Verdana" w:cs="Times New Roman"/>
          <w:b/>
          <w:bCs/>
          <w:sz w:val="24"/>
          <w:szCs w:val="24"/>
        </w:rPr>
      </w:pPr>
      <w:r w:rsidRPr="00950E2A">
        <w:rPr>
          <w:rFonts w:ascii="Verdana" w:eastAsia="Cambria" w:hAnsi="Verdana" w:cs="Times New Roman"/>
          <w:b/>
          <w:bCs/>
          <w:sz w:val="24"/>
          <w:szCs w:val="24"/>
        </w:rPr>
        <w:t>5</w:t>
      </w:r>
      <w:r w:rsidR="00AB4F16" w:rsidRPr="00950E2A">
        <w:rPr>
          <w:rFonts w:ascii="Verdana" w:eastAsia="Cambria" w:hAnsi="Verdana" w:cs="Times New Roman"/>
          <w:b/>
          <w:bCs/>
          <w:sz w:val="24"/>
          <w:szCs w:val="24"/>
        </w:rPr>
        <w:tab/>
        <w:t>Evaluation of Indicators and initiatives</w:t>
      </w:r>
    </w:p>
    <w:p w14:paraId="3721C024" w14:textId="77777777" w:rsidR="0045389F" w:rsidRPr="0093704C" w:rsidRDefault="0045389F">
      <w:pPr>
        <w:pStyle w:val="BodyA"/>
        <w:rPr>
          <w:rFonts w:ascii="Verdana" w:eastAsia="Cambria" w:hAnsi="Verdana" w:cs="Times New Roman"/>
          <w:b/>
          <w:bCs/>
        </w:rPr>
      </w:pPr>
    </w:p>
    <w:p w14:paraId="24D4F58E" w14:textId="441DECA2" w:rsidR="0045389F" w:rsidRPr="0093704C" w:rsidRDefault="00165FB0">
      <w:pPr>
        <w:pStyle w:val="BodyA"/>
        <w:rPr>
          <w:rFonts w:ascii="Verdana" w:eastAsia="Cambria" w:hAnsi="Verdana" w:cs="Times New Roman"/>
        </w:rPr>
      </w:pPr>
      <w:r w:rsidRPr="0093704C">
        <w:rPr>
          <w:rFonts w:ascii="Verdana" w:eastAsia="Cambria" w:hAnsi="Verdana" w:cs="Times New Roman"/>
          <w:bCs/>
        </w:rPr>
        <w:t>Some of the shortfalls of various measures of wellbeing have already been mentioned.</w:t>
      </w:r>
      <w:r w:rsidRPr="0093704C">
        <w:rPr>
          <w:rFonts w:ascii="Verdana" w:eastAsia="Cambria" w:hAnsi="Verdana" w:cs="Times New Roman"/>
          <w:b/>
          <w:bCs/>
        </w:rPr>
        <w:t xml:space="preserve">  </w:t>
      </w:r>
      <w:r w:rsidR="00AB4F16" w:rsidRPr="0093704C">
        <w:rPr>
          <w:rFonts w:ascii="Verdana" w:eastAsia="Cambria" w:hAnsi="Verdana" w:cs="Times New Roman"/>
        </w:rPr>
        <w:t>BRAINPOol looked at what makes some indicator initiatives more successful than others.</w:t>
      </w:r>
      <w:r w:rsidR="00AB4F16" w:rsidRPr="0093704C">
        <w:rPr>
          <w:rFonts w:ascii="Verdana" w:eastAsia="Cambria" w:hAnsi="Verdana" w:cs="Times New Roman"/>
          <w:vertAlign w:val="superscript"/>
        </w:rPr>
        <w:footnoteReference w:id="44"/>
      </w:r>
      <w:r w:rsidR="00AB4F16" w:rsidRPr="0093704C">
        <w:rPr>
          <w:rFonts w:ascii="Verdana" w:eastAsia="Cambria" w:hAnsi="Verdana" w:cs="Times New Roman"/>
        </w:rPr>
        <w:t xml:space="preserve">   In terms of media interest, it found that Bhutan’s ‘Gross National Happiness’ initiative, with its media friendly ‘happiness’ theme, attracted more attention that other comparable initiatives.  Also indicators that benefit from delivering simple and meaningful concepts (even if they are measuring complicated things) are </w:t>
      </w:r>
      <w:r w:rsidR="00AB4F16" w:rsidRPr="0093704C">
        <w:rPr>
          <w:rFonts w:ascii="Verdana" w:eastAsia="Cambria" w:hAnsi="Verdana" w:cs="Times New Roman"/>
        </w:rPr>
        <w:lastRenderedPageBreak/>
        <w:t>attractive to the media, such as the Human Development Index or Ecological Footprint.</w:t>
      </w:r>
    </w:p>
    <w:p w14:paraId="18DCFF36" w14:textId="77777777" w:rsidR="0045389F" w:rsidRPr="0093704C" w:rsidRDefault="0045389F">
      <w:pPr>
        <w:pStyle w:val="BodyA"/>
        <w:rPr>
          <w:rFonts w:ascii="Verdana" w:eastAsia="Cambria" w:hAnsi="Verdana" w:cs="Times New Roman"/>
        </w:rPr>
      </w:pPr>
    </w:p>
    <w:p w14:paraId="71377E0D" w14:textId="77777777" w:rsidR="0045389F" w:rsidRPr="0093704C" w:rsidRDefault="00AB4F16">
      <w:pPr>
        <w:pStyle w:val="BodyA"/>
        <w:rPr>
          <w:rFonts w:ascii="Verdana" w:eastAsia="Cambria" w:hAnsi="Verdana" w:cs="Times New Roman"/>
        </w:rPr>
      </w:pPr>
      <w:r w:rsidRPr="0093704C">
        <w:rPr>
          <w:rFonts w:ascii="Verdana" w:eastAsia="Cambria" w:hAnsi="Verdana" w:cs="Times New Roman"/>
        </w:rPr>
        <w:t>The project also identified a number of features that contributed to indicators being used in policy and practice:</w:t>
      </w:r>
    </w:p>
    <w:p w14:paraId="78EBA4D7" w14:textId="00CECB1E" w:rsidR="0045389F" w:rsidRPr="0093704C" w:rsidRDefault="00AB4F16" w:rsidP="00BD1689">
      <w:pPr>
        <w:pStyle w:val="BodyA"/>
        <w:numPr>
          <w:ilvl w:val="0"/>
          <w:numId w:val="32"/>
        </w:numPr>
        <w:rPr>
          <w:rFonts w:ascii="Verdana" w:eastAsia="Times New Roman" w:hAnsi="Verdana" w:cs="Times New Roman"/>
        </w:rPr>
      </w:pPr>
      <w:r w:rsidRPr="0093704C">
        <w:rPr>
          <w:rFonts w:ascii="Verdana" w:eastAsia="Cambria" w:hAnsi="Verdana" w:cs="Times New Roman"/>
        </w:rPr>
        <w:t>Indicators need to have real relevance to policy maker</w:t>
      </w:r>
      <w:r w:rsidR="00EC5103" w:rsidRPr="0093704C">
        <w:rPr>
          <w:rFonts w:ascii="Verdana" w:eastAsia="Cambria" w:hAnsi="Verdana" w:cs="Times New Roman"/>
        </w:rPr>
        <w:t>s and need to measure something</w:t>
      </w:r>
      <w:r w:rsidRPr="0093704C">
        <w:rPr>
          <w:rFonts w:ascii="Verdana" w:eastAsia="Cambria" w:hAnsi="Verdana" w:cs="Times New Roman"/>
        </w:rPr>
        <w:t xml:space="preserve"> policy makers feel they can influence;</w:t>
      </w:r>
    </w:p>
    <w:p w14:paraId="031FD082" w14:textId="3F1A1789" w:rsidR="0045389F" w:rsidRPr="0093704C" w:rsidRDefault="00AB4F16" w:rsidP="00BD1689">
      <w:pPr>
        <w:pStyle w:val="BodyA"/>
        <w:numPr>
          <w:ilvl w:val="0"/>
          <w:numId w:val="32"/>
        </w:numPr>
        <w:rPr>
          <w:rFonts w:ascii="Verdana" w:eastAsia="Times New Roman" w:hAnsi="Verdana" w:cs="Times New Roman"/>
        </w:rPr>
      </w:pPr>
      <w:r w:rsidRPr="0093704C">
        <w:rPr>
          <w:rFonts w:ascii="Verdana" w:eastAsia="Cambria" w:hAnsi="Verdana" w:cs="Times New Roman"/>
        </w:rPr>
        <w:t>Salience for a bro</w:t>
      </w:r>
      <w:r w:rsidR="00EC5103" w:rsidRPr="0093704C">
        <w:rPr>
          <w:rFonts w:ascii="Verdana" w:eastAsia="Cambria" w:hAnsi="Verdana" w:cs="Times New Roman"/>
        </w:rPr>
        <w:t>ader audience is also important</w:t>
      </w:r>
      <w:r w:rsidRPr="0093704C">
        <w:rPr>
          <w:rFonts w:ascii="Verdana" w:eastAsia="Cambria" w:hAnsi="Verdana" w:cs="Times New Roman"/>
        </w:rPr>
        <w:t xml:space="preserve"> and entails simplicity and good communication;</w:t>
      </w:r>
    </w:p>
    <w:p w14:paraId="768EBD33" w14:textId="77777777" w:rsidR="0045389F" w:rsidRPr="0093704C" w:rsidRDefault="00AB4F16" w:rsidP="00BD1689">
      <w:pPr>
        <w:pStyle w:val="BodyA"/>
        <w:numPr>
          <w:ilvl w:val="0"/>
          <w:numId w:val="32"/>
        </w:numPr>
        <w:rPr>
          <w:rFonts w:ascii="Verdana" w:eastAsia="Times New Roman" w:hAnsi="Verdana" w:cs="Times New Roman"/>
        </w:rPr>
      </w:pPr>
      <w:r w:rsidRPr="0093704C">
        <w:rPr>
          <w:rFonts w:ascii="Verdana" w:eastAsia="Cambria" w:hAnsi="Verdana" w:cs="Times New Roman"/>
        </w:rPr>
        <w:t>Indicators need credibility and legitimacy;</w:t>
      </w:r>
    </w:p>
    <w:p w14:paraId="5CFD53A6" w14:textId="5C9F80E6" w:rsidR="0045389F" w:rsidRPr="0093704C" w:rsidRDefault="00F230F8" w:rsidP="00BD1689">
      <w:pPr>
        <w:pStyle w:val="BodyA"/>
        <w:numPr>
          <w:ilvl w:val="0"/>
          <w:numId w:val="32"/>
        </w:numPr>
        <w:rPr>
          <w:rFonts w:ascii="Verdana" w:eastAsia="Times New Roman Bold" w:hAnsi="Verdana" w:cs="Times New Roman"/>
          <w:b/>
          <w:bCs/>
        </w:rPr>
      </w:pPr>
      <w:r w:rsidRPr="0093704C">
        <w:rPr>
          <w:rFonts w:ascii="Verdana" w:eastAsia="Cambria" w:hAnsi="Verdana" w:cs="Times New Roman"/>
        </w:rPr>
        <w:t>A</w:t>
      </w:r>
      <w:r w:rsidR="00AB4F16" w:rsidRPr="0093704C">
        <w:rPr>
          <w:rFonts w:ascii="Verdana" w:eastAsia="Cambria" w:hAnsi="Verdana" w:cs="Times New Roman"/>
        </w:rPr>
        <w:t xml:space="preserve"> participatory approach </w:t>
      </w:r>
      <w:r w:rsidRPr="0093704C">
        <w:rPr>
          <w:rFonts w:ascii="Verdana" w:eastAsia="Cambria" w:hAnsi="Verdana" w:cs="Times New Roman"/>
        </w:rPr>
        <w:t>should be used when</w:t>
      </w:r>
      <w:r w:rsidR="00AB4F16" w:rsidRPr="0093704C">
        <w:rPr>
          <w:rFonts w:ascii="Verdana" w:eastAsia="Cambria" w:hAnsi="Verdana" w:cs="Times New Roman"/>
        </w:rPr>
        <w:t xml:space="preserve"> developing the indicators.</w:t>
      </w:r>
    </w:p>
    <w:p w14:paraId="7D7EFD77" w14:textId="77777777" w:rsidR="0045389F" w:rsidRPr="0093704C" w:rsidRDefault="0045389F">
      <w:pPr>
        <w:pStyle w:val="BodyA"/>
        <w:rPr>
          <w:rFonts w:ascii="Verdana" w:eastAsia="Cambria" w:hAnsi="Verdana" w:cs="Times New Roman"/>
          <w:b/>
          <w:bCs/>
        </w:rPr>
      </w:pPr>
    </w:p>
    <w:p w14:paraId="43991DD5" w14:textId="77777777" w:rsidR="003D6A1E" w:rsidRPr="0093704C" w:rsidRDefault="003D6A1E" w:rsidP="003D6A1E">
      <w:pPr>
        <w:pStyle w:val="ListParagraph"/>
        <w:ind w:left="0"/>
        <w:rPr>
          <w:rFonts w:ascii="Verdana" w:hAnsi="Verdana" w:cs="Times New Roman"/>
          <w:sz w:val="22"/>
          <w:szCs w:val="22"/>
        </w:rPr>
      </w:pPr>
    </w:p>
    <w:p w14:paraId="641A5A6E" w14:textId="46D5C187" w:rsidR="003D6A1E" w:rsidRPr="0093704C" w:rsidRDefault="003D6A1E" w:rsidP="003D6A1E">
      <w:pPr>
        <w:pStyle w:val="ListParagraph"/>
        <w:ind w:left="0"/>
        <w:rPr>
          <w:rFonts w:ascii="Verdana" w:hAnsi="Verdana" w:cs="Times New Roman"/>
          <w:sz w:val="22"/>
          <w:szCs w:val="22"/>
        </w:rPr>
      </w:pPr>
      <w:r w:rsidRPr="0093704C">
        <w:rPr>
          <w:rFonts w:ascii="Verdana" w:hAnsi="Verdana" w:cs="Times New Roman"/>
          <w:sz w:val="22"/>
          <w:szCs w:val="22"/>
        </w:rPr>
        <w:t xml:space="preserve">The March 2014 BRAINPOol conference looked at two areas, one of which was ‘creating a beyond GDP narrative which resonates and inspires confidence with the public’.  </w:t>
      </w:r>
      <w:r w:rsidR="00165FB0" w:rsidRPr="0093704C">
        <w:rPr>
          <w:rFonts w:ascii="Verdana" w:hAnsi="Verdana" w:cs="Times New Roman"/>
          <w:sz w:val="22"/>
          <w:szCs w:val="22"/>
        </w:rPr>
        <w:t>Speakers suggested that current narratives about wellbeing and sustainability are politically weak, but beyond GDP approaches do connect some politically strong concepts such as good jobs, security, community and equality</w:t>
      </w:r>
      <w:r w:rsidR="00165FB0" w:rsidRPr="0093704C">
        <w:rPr>
          <w:rStyle w:val="FootnoteReference"/>
          <w:rFonts w:ascii="Verdana" w:hAnsi="Verdana" w:cs="Times New Roman"/>
          <w:sz w:val="22"/>
          <w:szCs w:val="22"/>
        </w:rPr>
        <w:footnoteReference w:id="45"/>
      </w:r>
      <w:r w:rsidR="00165FB0" w:rsidRPr="0093704C">
        <w:rPr>
          <w:rFonts w:ascii="Verdana" w:hAnsi="Verdana" w:cs="Times New Roman"/>
          <w:sz w:val="22"/>
          <w:szCs w:val="22"/>
        </w:rPr>
        <w:t>.</w:t>
      </w:r>
    </w:p>
    <w:p w14:paraId="5DBD5600" w14:textId="77777777" w:rsidR="003D6A1E" w:rsidRPr="0093704C" w:rsidRDefault="003D6A1E">
      <w:pPr>
        <w:pStyle w:val="BodyA"/>
        <w:rPr>
          <w:rFonts w:ascii="Verdana" w:eastAsia="Cambria" w:hAnsi="Verdana" w:cs="Times New Roman"/>
          <w:b/>
          <w:bCs/>
        </w:rPr>
      </w:pPr>
    </w:p>
    <w:p w14:paraId="0BCEA93B" w14:textId="77777777" w:rsidR="0045389F" w:rsidRPr="0093704C" w:rsidRDefault="0045389F">
      <w:pPr>
        <w:pStyle w:val="BodyA"/>
        <w:rPr>
          <w:rFonts w:ascii="Verdana" w:eastAsia="Cambria" w:hAnsi="Verdana" w:cs="Times New Roman"/>
          <w:b/>
          <w:bCs/>
        </w:rPr>
      </w:pPr>
    </w:p>
    <w:p w14:paraId="5152D532" w14:textId="7497C42B" w:rsidR="003442B7" w:rsidRPr="00950E2A" w:rsidRDefault="003442B7">
      <w:pPr>
        <w:pStyle w:val="BodyA"/>
        <w:rPr>
          <w:rFonts w:ascii="Verdana" w:eastAsia="Cambria" w:hAnsi="Verdana" w:cs="Times New Roman"/>
          <w:b/>
          <w:bCs/>
          <w:sz w:val="24"/>
          <w:szCs w:val="24"/>
        </w:rPr>
      </w:pPr>
      <w:r w:rsidRPr="00950E2A">
        <w:rPr>
          <w:rFonts w:ascii="Verdana" w:eastAsia="Cambria" w:hAnsi="Verdana" w:cs="Times New Roman"/>
          <w:b/>
          <w:bCs/>
          <w:sz w:val="24"/>
          <w:szCs w:val="24"/>
        </w:rPr>
        <w:t>6</w:t>
      </w:r>
      <w:r w:rsidR="00AB4F16" w:rsidRPr="00950E2A">
        <w:rPr>
          <w:rFonts w:ascii="Verdana" w:eastAsia="Cambria" w:hAnsi="Verdana" w:cs="Times New Roman"/>
          <w:b/>
          <w:bCs/>
          <w:sz w:val="24"/>
          <w:szCs w:val="24"/>
        </w:rPr>
        <w:tab/>
      </w:r>
      <w:r w:rsidR="00950E2A">
        <w:rPr>
          <w:rFonts w:ascii="Verdana" w:eastAsia="Cambria" w:hAnsi="Verdana" w:cs="Times New Roman"/>
          <w:b/>
          <w:bCs/>
          <w:sz w:val="24"/>
          <w:szCs w:val="24"/>
        </w:rPr>
        <w:t xml:space="preserve">LINK </w:t>
      </w:r>
      <w:r w:rsidR="00AB4F16" w:rsidRPr="00950E2A">
        <w:rPr>
          <w:rFonts w:ascii="Verdana" w:eastAsia="Cambria" w:hAnsi="Verdana" w:cs="Times New Roman"/>
          <w:b/>
          <w:bCs/>
          <w:sz w:val="24"/>
          <w:szCs w:val="24"/>
        </w:rPr>
        <w:t xml:space="preserve">Flourishing Scotland Project </w:t>
      </w:r>
    </w:p>
    <w:p w14:paraId="123EFE99" w14:textId="651B5264" w:rsidR="0045389F" w:rsidRPr="0093704C" w:rsidRDefault="003442B7">
      <w:pPr>
        <w:pStyle w:val="BodyA"/>
        <w:rPr>
          <w:rFonts w:ascii="Verdana" w:eastAsia="Cambria" w:hAnsi="Verdana" w:cs="Times New Roman"/>
          <w:b/>
          <w:bCs/>
        </w:rPr>
      </w:pPr>
      <w:r w:rsidRPr="0093704C">
        <w:rPr>
          <w:rFonts w:ascii="Verdana" w:eastAsia="Cambria" w:hAnsi="Verdana" w:cs="Times New Roman"/>
          <w:b/>
          <w:bCs/>
        </w:rPr>
        <w:t>6.1</w:t>
      </w:r>
      <w:r w:rsidRPr="0093704C">
        <w:rPr>
          <w:rFonts w:ascii="Verdana" w:eastAsia="Cambria" w:hAnsi="Verdana" w:cs="Times New Roman"/>
          <w:b/>
          <w:bCs/>
        </w:rPr>
        <w:tab/>
        <w:t xml:space="preserve">Project </w:t>
      </w:r>
      <w:r w:rsidR="00AB4F16" w:rsidRPr="0093704C">
        <w:rPr>
          <w:rFonts w:ascii="Verdana" w:eastAsia="Cambria" w:hAnsi="Verdana" w:cs="Times New Roman"/>
          <w:b/>
          <w:bCs/>
        </w:rPr>
        <w:t>Objectives</w:t>
      </w:r>
    </w:p>
    <w:p w14:paraId="6434C122" w14:textId="77777777" w:rsidR="003442B7" w:rsidRPr="0093704C" w:rsidRDefault="003442B7">
      <w:pPr>
        <w:pStyle w:val="BodyA"/>
        <w:rPr>
          <w:rFonts w:ascii="Verdana" w:eastAsia="Cambria" w:hAnsi="Verdana" w:cs="Times New Roman"/>
        </w:rPr>
      </w:pPr>
    </w:p>
    <w:p w14:paraId="15B9F5F9" w14:textId="7D4D95EF" w:rsidR="0045389F" w:rsidRPr="0093704C" w:rsidRDefault="00AB4F16">
      <w:pPr>
        <w:pStyle w:val="BodyA"/>
        <w:rPr>
          <w:rFonts w:ascii="Verdana" w:eastAsia="Cambria" w:hAnsi="Verdana" w:cs="Times New Roman"/>
          <w:i/>
          <w:iCs/>
        </w:rPr>
      </w:pPr>
      <w:r w:rsidRPr="0093704C">
        <w:rPr>
          <w:rFonts w:ascii="Verdana" w:eastAsia="Cambria" w:hAnsi="Verdana" w:cs="Times New Roman"/>
        </w:rPr>
        <w:t xml:space="preserve">The </w:t>
      </w:r>
      <w:r w:rsidR="00950E2A">
        <w:rPr>
          <w:rFonts w:ascii="Verdana" w:eastAsia="Cambria" w:hAnsi="Verdana" w:cs="Times New Roman"/>
        </w:rPr>
        <w:t xml:space="preserve">LINK </w:t>
      </w:r>
      <w:r w:rsidRPr="0093704C">
        <w:rPr>
          <w:rFonts w:ascii="Verdana" w:eastAsia="Cambria" w:hAnsi="Verdana" w:cs="Times New Roman"/>
        </w:rPr>
        <w:t>Flourishing Scotland Project aims ‘</w:t>
      </w:r>
      <w:r w:rsidRPr="0093704C">
        <w:rPr>
          <w:rFonts w:ascii="Verdana" w:eastAsia="Cambria" w:hAnsi="Verdana" w:cs="Times New Roman"/>
          <w:i/>
          <w:iCs/>
        </w:rPr>
        <w:t xml:space="preserve">for other measures to be equal to GDP in the NPF and for the improved NPF to be used more effectively as a tool for long-term decision making about resource expenditure along SD lines.  …….. </w:t>
      </w:r>
    </w:p>
    <w:p w14:paraId="1A1E0263" w14:textId="77777777" w:rsidR="0045389F" w:rsidRPr="0093704C" w:rsidRDefault="00AB4F16">
      <w:pPr>
        <w:pStyle w:val="BodyA"/>
        <w:rPr>
          <w:rFonts w:ascii="Verdana" w:eastAsia="Cambria" w:hAnsi="Verdana" w:cs="Times New Roman"/>
        </w:rPr>
      </w:pPr>
      <w:r w:rsidRPr="0093704C">
        <w:rPr>
          <w:rFonts w:ascii="Verdana" w:eastAsia="Cambria" w:hAnsi="Verdana" w:cs="Times New Roman"/>
          <w:i/>
          <w:iCs/>
        </w:rPr>
        <w:t>The aim is for Scotland Performs, where progress against the NPF targets and indicators are measured, to be interrogated regularly by Parliament and the media to assess progress against SD objectives</w:t>
      </w:r>
      <w:r w:rsidRPr="0093704C">
        <w:rPr>
          <w:rFonts w:ascii="Verdana" w:eastAsia="Cambria" w:hAnsi="Verdana" w:cs="Times New Roman"/>
        </w:rPr>
        <w:t>.’</w:t>
      </w:r>
      <w:r w:rsidRPr="0093704C">
        <w:rPr>
          <w:rFonts w:ascii="Verdana" w:eastAsia="Cambria" w:hAnsi="Verdana" w:cs="Times New Roman"/>
          <w:vertAlign w:val="superscript"/>
        </w:rPr>
        <w:footnoteReference w:id="46"/>
      </w:r>
    </w:p>
    <w:p w14:paraId="0C4E5AE6" w14:textId="77777777" w:rsidR="0045389F" w:rsidRPr="0093704C" w:rsidRDefault="0045389F">
      <w:pPr>
        <w:pStyle w:val="BodyA"/>
        <w:rPr>
          <w:rFonts w:ascii="Verdana" w:eastAsia="Cambria" w:hAnsi="Verdana" w:cs="Times New Roman"/>
        </w:rPr>
      </w:pPr>
    </w:p>
    <w:p w14:paraId="14751EE9" w14:textId="1AF0CDA9" w:rsidR="00335428" w:rsidRPr="0093704C" w:rsidRDefault="00E13D80">
      <w:pPr>
        <w:pStyle w:val="Body"/>
        <w:rPr>
          <w:rFonts w:ascii="Verdana" w:hAnsi="Verdana" w:cs="Times New Roman"/>
          <w:b/>
          <w:bCs/>
          <w:sz w:val="22"/>
          <w:szCs w:val="22"/>
        </w:rPr>
      </w:pPr>
      <w:r w:rsidRPr="0093704C">
        <w:rPr>
          <w:rFonts w:ascii="Verdana" w:hAnsi="Verdana" w:cs="Times New Roman"/>
          <w:b/>
          <w:bCs/>
          <w:sz w:val="22"/>
          <w:szCs w:val="22"/>
        </w:rPr>
        <w:t>6.2</w:t>
      </w:r>
      <w:r w:rsidRPr="0093704C">
        <w:rPr>
          <w:rFonts w:ascii="Verdana" w:hAnsi="Verdana" w:cs="Times New Roman"/>
          <w:b/>
          <w:bCs/>
          <w:sz w:val="22"/>
          <w:szCs w:val="22"/>
        </w:rPr>
        <w:tab/>
      </w:r>
      <w:r w:rsidR="00AB4F16" w:rsidRPr="0093704C">
        <w:rPr>
          <w:rFonts w:ascii="Verdana" w:hAnsi="Verdana" w:cs="Times New Roman"/>
          <w:b/>
          <w:bCs/>
          <w:sz w:val="22"/>
          <w:szCs w:val="22"/>
        </w:rPr>
        <w:t xml:space="preserve">Opportunities and Challenges </w:t>
      </w:r>
    </w:p>
    <w:p w14:paraId="230E892A" w14:textId="77777777" w:rsidR="00E13D80" w:rsidRPr="0093704C" w:rsidRDefault="00E13D80">
      <w:pPr>
        <w:pStyle w:val="Body"/>
        <w:rPr>
          <w:rFonts w:ascii="Verdana" w:hAnsi="Verdana" w:cs="Times New Roman"/>
          <w:b/>
          <w:bCs/>
          <w:sz w:val="22"/>
          <w:szCs w:val="22"/>
        </w:rPr>
      </w:pPr>
    </w:p>
    <w:p w14:paraId="77621A1E" w14:textId="7B197F84" w:rsidR="00335428"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The Flourishing Scotland aims are closely tied to reforming the NPF and how it is used.  </w:t>
      </w:r>
      <w:r w:rsidR="001A4BA3" w:rsidRPr="0093704C">
        <w:rPr>
          <w:rFonts w:ascii="Verdana" w:hAnsi="Verdana" w:cs="Times New Roman"/>
          <w:sz w:val="22"/>
          <w:szCs w:val="22"/>
        </w:rPr>
        <w:t>In order for the NPF</w:t>
      </w:r>
      <w:r w:rsidR="00335428" w:rsidRPr="0093704C">
        <w:rPr>
          <w:rFonts w:ascii="Verdana" w:hAnsi="Verdana" w:cs="Times New Roman"/>
          <w:sz w:val="22"/>
          <w:szCs w:val="22"/>
        </w:rPr>
        <w:t xml:space="preserve"> to reflect sustainable development, </w:t>
      </w:r>
      <w:r w:rsidR="001A4BA3" w:rsidRPr="0093704C">
        <w:rPr>
          <w:rFonts w:ascii="Verdana" w:hAnsi="Verdana" w:cs="Times New Roman"/>
          <w:sz w:val="22"/>
          <w:szCs w:val="22"/>
        </w:rPr>
        <w:t>it</w:t>
      </w:r>
      <w:r w:rsidR="00335428" w:rsidRPr="0093704C">
        <w:rPr>
          <w:rFonts w:ascii="Verdana" w:hAnsi="Verdana" w:cs="Times New Roman"/>
          <w:sz w:val="22"/>
          <w:szCs w:val="22"/>
        </w:rPr>
        <w:t xml:space="preserve"> should </w:t>
      </w:r>
      <w:r w:rsidR="001A4BA3" w:rsidRPr="0093704C">
        <w:rPr>
          <w:rFonts w:ascii="Verdana" w:hAnsi="Verdana" w:cs="Times New Roman"/>
          <w:sz w:val="22"/>
          <w:szCs w:val="22"/>
        </w:rPr>
        <w:t>be viewed</w:t>
      </w:r>
      <w:r w:rsidR="00335428" w:rsidRPr="0093704C">
        <w:rPr>
          <w:rFonts w:ascii="Verdana" w:hAnsi="Verdana" w:cs="Times New Roman"/>
          <w:sz w:val="22"/>
          <w:szCs w:val="22"/>
        </w:rPr>
        <w:t xml:space="preserve"> through a </w:t>
      </w:r>
      <w:r w:rsidR="00F230F8" w:rsidRPr="0093704C">
        <w:rPr>
          <w:rFonts w:ascii="Verdana" w:hAnsi="Verdana" w:cs="Times New Roman"/>
          <w:sz w:val="22"/>
          <w:szCs w:val="22"/>
        </w:rPr>
        <w:t xml:space="preserve">sustainable development </w:t>
      </w:r>
      <w:r w:rsidR="00335428" w:rsidRPr="0093704C">
        <w:rPr>
          <w:rFonts w:ascii="Verdana" w:hAnsi="Verdana" w:cs="Times New Roman"/>
          <w:sz w:val="22"/>
          <w:szCs w:val="22"/>
        </w:rPr>
        <w:t xml:space="preserve">lens.  In its current form, </w:t>
      </w:r>
      <w:r w:rsidR="00F230F8" w:rsidRPr="0093704C">
        <w:rPr>
          <w:rFonts w:ascii="Verdana" w:hAnsi="Verdana" w:cs="Times New Roman"/>
          <w:sz w:val="22"/>
          <w:szCs w:val="22"/>
        </w:rPr>
        <w:t>the NPF</w:t>
      </w:r>
      <w:r w:rsidR="00335428" w:rsidRPr="0093704C">
        <w:rPr>
          <w:rFonts w:ascii="Verdana" w:hAnsi="Verdana" w:cs="Times New Roman"/>
          <w:sz w:val="22"/>
          <w:szCs w:val="22"/>
        </w:rPr>
        <w:t xml:space="preserve"> does seek to include four of the five </w:t>
      </w:r>
      <w:r w:rsidR="00F230F8" w:rsidRPr="0093704C">
        <w:rPr>
          <w:rFonts w:ascii="Verdana" w:hAnsi="Verdana" w:cs="Times New Roman"/>
          <w:sz w:val="22"/>
          <w:szCs w:val="22"/>
        </w:rPr>
        <w:t xml:space="preserve">sustainable development </w:t>
      </w:r>
      <w:r w:rsidR="00335428" w:rsidRPr="0093704C">
        <w:rPr>
          <w:rFonts w:ascii="Verdana" w:hAnsi="Verdana" w:cs="Times New Roman"/>
          <w:sz w:val="22"/>
          <w:szCs w:val="22"/>
        </w:rPr>
        <w:t>principles (governance is missing) and</w:t>
      </w:r>
      <w:r w:rsidR="00F230F8" w:rsidRPr="0093704C">
        <w:rPr>
          <w:rFonts w:ascii="Verdana" w:hAnsi="Verdana" w:cs="Times New Roman"/>
          <w:sz w:val="22"/>
          <w:szCs w:val="22"/>
        </w:rPr>
        <w:t>,</w:t>
      </w:r>
      <w:r w:rsidR="00335428" w:rsidRPr="0093704C">
        <w:rPr>
          <w:rFonts w:ascii="Verdana" w:hAnsi="Verdana" w:cs="Times New Roman"/>
          <w:sz w:val="22"/>
          <w:szCs w:val="22"/>
        </w:rPr>
        <w:t xml:space="preserve"> if indicators are improved</w:t>
      </w:r>
      <w:r w:rsidR="00F230F8" w:rsidRPr="0093704C">
        <w:rPr>
          <w:rFonts w:ascii="Verdana" w:hAnsi="Verdana" w:cs="Times New Roman"/>
          <w:sz w:val="22"/>
          <w:szCs w:val="22"/>
        </w:rPr>
        <w:t>,</w:t>
      </w:r>
      <w:r w:rsidR="00335428" w:rsidRPr="0093704C">
        <w:rPr>
          <w:rFonts w:ascii="Verdana" w:hAnsi="Verdana" w:cs="Times New Roman"/>
          <w:sz w:val="22"/>
          <w:szCs w:val="22"/>
        </w:rPr>
        <w:t xml:space="preserve"> the environment could be adequately reflected.  What is missing</w:t>
      </w:r>
      <w:r w:rsidR="00F230F8" w:rsidRPr="0093704C">
        <w:rPr>
          <w:rFonts w:ascii="Verdana" w:hAnsi="Verdana" w:cs="Times New Roman"/>
          <w:sz w:val="22"/>
          <w:szCs w:val="22"/>
        </w:rPr>
        <w:t xml:space="preserve"> is</w:t>
      </w:r>
      <w:r w:rsidR="00335428" w:rsidRPr="0093704C">
        <w:rPr>
          <w:rFonts w:ascii="Verdana" w:hAnsi="Verdana" w:cs="Times New Roman"/>
          <w:sz w:val="22"/>
          <w:szCs w:val="22"/>
        </w:rPr>
        <w:t xml:space="preserve"> a reflection of the hier</w:t>
      </w:r>
      <w:r w:rsidR="00A533C0" w:rsidRPr="0093704C">
        <w:rPr>
          <w:rFonts w:ascii="Verdana" w:hAnsi="Verdana" w:cs="Times New Roman"/>
          <w:sz w:val="22"/>
          <w:szCs w:val="22"/>
        </w:rPr>
        <w:t xml:space="preserve">archy of the </w:t>
      </w:r>
      <w:r w:rsidR="00F230F8" w:rsidRPr="0093704C">
        <w:rPr>
          <w:rFonts w:ascii="Verdana" w:hAnsi="Verdana" w:cs="Times New Roman"/>
          <w:sz w:val="22"/>
          <w:szCs w:val="22"/>
        </w:rPr>
        <w:t>sustainable development</w:t>
      </w:r>
      <w:r w:rsidR="00A533C0" w:rsidRPr="0093704C">
        <w:rPr>
          <w:rFonts w:ascii="Verdana" w:hAnsi="Verdana" w:cs="Times New Roman"/>
          <w:sz w:val="22"/>
          <w:szCs w:val="22"/>
        </w:rPr>
        <w:t xml:space="preserve"> principles.  A</w:t>
      </w:r>
      <w:r w:rsidR="00335428" w:rsidRPr="0093704C">
        <w:rPr>
          <w:rFonts w:ascii="Verdana" w:hAnsi="Verdana" w:cs="Times New Roman"/>
          <w:sz w:val="22"/>
          <w:szCs w:val="22"/>
        </w:rPr>
        <w:t xml:space="preserve"> change in the structure o</w:t>
      </w:r>
      <w:r w:rsidR="00A533C0" w:rsidRPr="0093704C">
        <w:rPr>
          <w:rFonts w:ascii="Verdana" w:hAnsi="Verdana" w:cs="Times New Roman"/>
          <w:sz w:val="22"/>
          <w:szCs w:val="22"/>
        </w:rPr>
        <w:t>f the Framework, with the headline environmental and wellbeing indictors being ‘above’ economic indicators could amend this and put economic activity in its rightful context.</w:t>
      </w:r>
    </w:p>
    <w:p w14:paraId="18A0C2A5" w14:textId="77777777" w:rsidR="00335428" w:rsidRPr="0093704C" w:rsidRDefault="00335428">
      <w:pPr>
        <w:pStyle w:val="ListParagraph"/>
        <w:ind w:left="0"/>
        <w:rPr>
          <w:rFonts w:ascii="Verdana" w:hAnsi="Verdana" w:cs="Times New Roman"/>
          <w:sz w:val="22"/>
          <w:szCs w:val="22"/>
        </w:rPr>
      </w:pPr>
    </w:p>
    <w:p w14:paraId="21786560" w14:textId="002175FF" w:rsidR="0045389F" w:rsidRPr="0093704C" w:rsidRDefault="00AB4F16">
      <w:pPr>
        <w:pStyle w:val="ListParagraph"/>
        <w:ind w:left="0"/>
        <w:rPr>
          <w:rFonts w:ascii="Verdana" w:hAnsi="Verdana" w:cs="Times New Roman"/>
          <w:sz w:val="22"/>
          <w:szCs w:val="22"/>
        </w:rPr>
      </w:pPr>
      <w:r w:rsidRPr="0093704C">
        <w:rPr>
          <w:rFonts w:ascii="Verdana" w:hAnsi="Verdana" w:cs="Times New Roman"/>
          <w:sz w:val="22"/>
          <w:szCs w:val="22"/>
        </w:rPr>
        <w:t xml:space="preserve">The Roundtable offers huge opportunity for revisions to be made to the NPF and its use in line with much of what LINK is seeking.  There is </w:t>
      </w:r>
      <w:r w:rsidRPr="0093704C">
        <w:rPr>
          <w:rFonts w:ascii="Verdana" w:hAnsi="Verdana" w:cs="Times New Roman"/>
          <w:sz w:val="22"/>
          <w:szCs w:val="22"/>
        </w:rPr>
        <w:lastRenderedPageBreak/>
        <w:t xml:space="preserve">agreement </w:t>
      </w:r>
      <w:r w:rsidR="00F230F8" w:rsidRPr="0093704C">
        <w:rPr>
          <w:rFonts w:ascii="Verdana" w:hAnsi="Verdana" w:cs="Times New Roman"/>
          <w:sz w:val="22"/>
          <w:szCs w:val="22"/>
        </w:rPr>
        <w:t xml:space="preserve">within the </w:t>
      </w:r>
      <w:r w:rsidR="00AF03BC" w:rsidRPr="0093704C">
        <w:rPr>
          <w:rFonts w:ascii="Verdana" w:hAnsi="Verdana" w:cs="Times New Roman"/>
          <w:sz w:val="22"/>
          <w:szCs w:val="22"/>
        </w:rPr>
        <w:t>R</w:t>
      </w:r>
      <w:r w:rsidR="00F230F8" w:rsidRPr="0093704C">
        <w:rPr>
          <w:rFonts w:ascii="Verdana" w:hAnsi="Verdana" w:cs="Times New Roman"/>
          <w:sz w:val="22"/>
          <w:szCs w:val="22"/>
        </w:rPr>
        <w:t xml:space="preserve">oundtable </w:t>
      </w:r>
      <w:r w:rsidRPr="0093704C">
        <w:rPr>
          <w:rFonts w:ascii="Verdana" w:hAnsi="Verdana" w:cs="Times New Roman"/>
          <w:sz w:val="22"/>
          <w:szCs w:val="22"/>
        </w:rPr>
        <w:t xml:space="preserve">on the weaknesses and missing areas in the indicator set and interest in those proposed in the LINK Briefing annex.  </w:t>
      </w:r>
      <w:r w:rsidR="001A4BA3" w:rsidRPr="0093704C">
        <w:rPr>
          <w:rFonts w:ascii="Verdana" w:hAnsi="Verdana" w:cs="Times New Roman"/>
          <w:sz w:val="22"/>
          <w:szCs w:val="22"/>
        </w:rPr>
        <w:t>There is less assurance on</w:t>
      </w:r>
      <w:r w:rsidRPr="0093704C">
        <w:rPr>
          <w:rFonts w:ascii="Verdana" w:hAnsi="Verdana" w:cs="Times New Roman"/>
          <w:sz w:val="22"/>
          <w:szCs w:val="22"/>
        </w:rPr>
        <w:t xml:space="preserve"> whether the </w:t>
      </w:r>
      <w:r w:rsidR="00AF03BC" w:rsidRPr="0093704C">
        <w:rPr>
          <w:rFonts w:ascii="Verdana" w:hAnsi="Verdana" w:cs="Times New Roman"/>
          <w:sz w:val="22"/>
          <w:szCs w:val="22"/>
        </w:rPr>
        <w:t>R</w:t>
      </w:r>
      <w:r w:rsidRPr="0093704C">
        <w:rPr>
          <w:rFonts w:ascii="Verdana" w:hAnsi="Verdana" w:cs="Times New Roman"/>
          <w:sz w:val="22"/>
          <w:szCs w:val="22"/>
        </w:rPr>
        <w:t xml:space="preserve">oundtable will address the wording of the main Purpose of the NPF or the </w:t>
      </w:r>
      <w:r w:rsidR="00F230F8" w:rsidRPr="0093704C">
        <w:rPr>
          <w:rFonts w:ascii="Verdana" w:hAnsi="Verdana" w:cs="Times New Roman"/>
          <w:sz w:val="22"/>
          <w:szCs w:val="22"/>
        </w:rPr>
        <w:t>emphasis given to</w:t>
      </w:r>
      <w:r w:rsidRPr="0093704C">
        <w:rPr>
          <w:rFonts w:ascii="Verdana" w:hAnsi="Verdana" w:cs="Times New Roman"/>
          <w:sz w:val="22"/>
          <w:szCs w:val="22"/>
        </w:rPr>
        <w:t xml:space="preserve"> GDP.  </w:t>
      </w:r>
      <w:r w:rsidR="00F230F8" w:rsidRPr="0093704C">
        <w:rPr>
          <w:rFonts w:ascii="Verdana" w:hAnsi="Verdana" w:cs="Times New Roman"/>
          <w:sz w:val="22"/>
          <w:szCs w:val="22"/>
        </w:rPr>
        <w:t>D</w:t>
      </w:r>
      <w:r w:rsidRPr="0093704C">
        <w:rPr>
          <w:rFonts w:ascii="Verdana" w:hAnsi="Verdana" w:cs="Times New Roman"/>
          <w:sz w:val="22"/>
          <w:szCs w:val="22"/>
        </w:rPr>
        <w:t>ue to the sensitive na</w:t>
      </w:r>
      <w:r w:rsidR="00A151E1" w:rsidRPr="0093704C">
        <w:rPr>
          <w:rFonts w:ascii="Verdana" w:hAnsi="Verdana" w:cs="Times New Roman"/>
          <w:sz w:val="22"/>
          <w:szCs w:val="22"/>
        </w:rPr>
        <w:t xml:space="preserve">ture of the </w:t>
      </w:r>
      <w:r w:rsidR="00AF03BC" w:rsidRPr="0093704C">
        <w:rPr>
          <w:rFonts w:ascii="Verdana" w:hAnsi="Verdana" w:cs="Times New Roman"/>
          <w:sz w:val="22"/>
          <w:szCs w:val="22"/>
        </w:rPr>
        <w:t>R</w:t>
      </w:r>
      <w:r w:rsidR="00A151E1" w:rsidRPr="0093704C">
        <w:rPr>
          <w:rFonts w:ascii="Verdana" w:hAnsi="Verdana" w:cs="Times New Roman"/>
          <w:sz w:val="22"/>
          <w:szCs w:val="22"/>
        </w:rPr>
        <w:t>oundtable process,</w:t>
      </w:r>
      <w:r w:rsidRPr="0093704C">
        <w:rPr>
          <w:rFonts w:ascii="Verdana" w:hAnsi="Verdana" w:cs="Times New Roman"/>
          <w:sz w:val="22"/>
          <w:szCs w:val="22"/>
        </w:rPr>
        <w:t xml:space="preserve"> wider LINK advocacy on reforming the NPF is being carried out very softly.  The absence of business on the Roundtable could also pose a serious risk to its </w:t>
      </w:r>
      <w:r w:rsidR="004D0115">
        <w:rPr>
          <w:rFonts w:ascii="Verdana" w:hAnsi="Verdana" w:cs="Times New Roman"/>
          <w:sz w:val="22"/>
          <w:szCs w:val="22"/>
        </w:rPr>
        <w:t>eventual success -</w:t>
      </w:r>
      <w:r w:rsidR="001A4BA3" w:rsidRPr="0093704C">
        <w:rPr>
          <w:rFonts w:ascii="Verdana" w:hAnsi="Verdana" w:cs="Times New Roman"/>
          <w:sz w:val="22"/>
          <w:szCs w:val="22"/>
        </w:rPr>
        <w:t xml:space="preserve"> w</w:t>
      </w:r>
      <w:r w:rsidRPr="0093704C">
        <w:rPr>
          <w:rFonts w:ascii="Verdana" w:hAnsi="Verdana" w:cs="Times New Roman"/>
          <w:sz w:val="22"/>
          <w:szCs w:val="22"/>
        </w:rPr>
        <w:t xml:space="preserve">hen the NPF is relaunched, it needs broad support and failure to </w:t>
      </w:r>
      <w:r w:rsidR="00F230F8" w:rsidRPr="0093704C">
        <w:rPr>
          <w:rFonts w:ascii="Verdana" w:hAnsi="Verdana" w:cs="Times New Roman"/>
          <w:sz w:val="22"/>
          <w:szCs w:val="22"/>
        </w:rPr>
        <w:t xml:space="preserve">have </w:t>
      </w:r>
      <w:r w:rsidRPr="0093704C">
        <w:rPr>
          <w:rFonts w:ascii="Verdana" w:hAnsi="Verdana" w:cs="Times New Roman"/>
          <w:sz w:val="22"/>
          <w:szCs w:val="22"/>
        </w:rPr>
        <w:t>include</w:t>
      </w:r>
      <w:r w:rsidR="00F230F8" w:rsidRPr="0093704C">
        <w:rPr>
          <w:rFonts w:ascii="Verdana" w:hAnsi="Verdana" w:cs="Times New Roman"/>
          <w:sz w:val="22"/>
          <w:szCs w:val="22"/>
        </w:rPr>
        <w:t>d</w:t>
      </w:r>
      <w:r w:rsidRPr="0093704C">
        <w:rPr>
          <w:rFonts w:ascii="Verdana" w:hAnsi="Verdana" w:cs="Times New Roman"/>
          <w:sz w:val="22"/>
          <w:szCs w:val="22"/>
        </w:rPr>
        <w:t xml:space="preserve"> the business community may jeopardise this. </w:t>
      </w:r>
    </w:p>
    <w:p w14:paraId="22D5E446" w14:textId="77777777" w:rsidR="0045389F" w:rsidRPr="0093704C" w:rsidRDefault="0045389F">
      <w:pPr>
        <w:pStyle w:val="ListParagraph"/>
        <w:ind w:left="0"/>
        <w:rPr>
          <w:rFonts w:ascii="Verdana" w:hAnsi="Verdana" w:cs="Times New Roman"/>
          <w:sz w:val="22"/>
          <w:szCs w:val="22"/>
        </w:rPr>
      </w:pPr>
    </w:p>
    <w:p w14:paraId="62295816" w14:textId="77777777" w:rsidR="0045389F" w:rsidRPr="0093704C" w:rsidRDefault="0045389F">
      <w:pPr>
        <w:pStyle w:val="ListParagraph"/>
        <w:ind w:left="0"/>
        <w:rPr>
          <w:rFonts w:ascii="Verdana" w:hAnsi="Verdana" w:cs="Times New Roman"/>
          <w:sz w:val="22"/>
          <w:szCs w:val="22"/>
        </w:rPr>
      </w:pPr>
    </w:p>
    <w:p w14:paraId="6725385B" w14:textId="20358541" w:rsidR="0045389F" w:rsidRPr="0093704C" w:rsidRDefault="00E13D80">
      <w:pPr>
        <w:pStyle w:val="Body"/>
        <w:rPr>
          <w:rFonts w:ascii="Verdana" w:hAnsi="Verdana" w:cs="Times New Roman"/>
          <w:b/>
          <w:bCs/>
          <w:sz w:val="22"/>
          <w:szCs w:val="22"/>
        </w:rPr>
      </w:pPr>
      <w:r w:rsidRPr="0093704C">
        <w:rPr>
          <w:rFonts w:ascii="Verdana" w:hAnsi="Verdana" w:cs="Times New Roman"/>
          <w:b/>
          <w:bCs/>
          <w:sz w:val="22"/>
          <w:szCs w:val="22"/>
        </w:rPr>
        <w:t>6.3</w:t>
      </w:r>
      <w:r w:rsidRPr="0093704C">
        <w:rPr>
          <w:rFonts w:ascii="Verdana" w:hAnsi="Verdana" w:cs="Times New Roman"/>
          <w:b/>
          <w:bCs/>
          <w:sz w:val="22"/>
          <w:szCs w:val="22"/>
        </w:rPr>
        <w:tab/>
      </w:r>
      <w:r w:rsidR="00AB4F16" w:rsidRPr="0093704C">
        <w:rPr>
          <w:rFonts w:ascii="Verdana" w:hAnsi="Verdana" w:cs="Times New Roman"/>
          <w:b/>
          <w:bCs/>
          <w:sz w:val="22"/>
          <w:szCs w:val="22"/>
        </w:rPr>
        <w:t>Suggestions for work programme</w:t>
      </w:r>
    </w:p>
    <w:p w14:paraId="4550C47F" w14:textId="77777777" w:rsidR="00F230F8" w:rsidRPr="0093704C" w:rsidRDefault="00F230F8">
      <w:pPr>
        <w:pStyle w:val="Body"/>
        <w:rPr>
          <w:rFonts w:ascii="Verdana" w:hAnsi="Verdana" w:cs="Times New Roman"/>
          <w:b/>
          <w:bCs/>
          <w:sz w:val="22"/>
          <w:szCs w:val="22"/>
        </w:rPr>
      </w:pPr>
    </w:p>
    <w:p w14:paraId="2A593636" w14:textId="50915931" w:rsidR="00F230F8" w:rsidRPr="0093704C" w:rsidRDefault="00F230F8" w:rsidP="00F230F8">
      <w:pPr>
        <w:pStyle w:val="ListParagraph"/>
        <w:ind w:left="0"/>
        <w:rPr>
          <w:rFonts w:ascii="Verdana" w:hAnsi="Verdana" w:cs="Times New Roman"/>
          <w:sz w:val="22"/>
          <w:szCs w:val="22"/>
        </w:rPr>
      </w:pPr>
      <w:r w:rsidRPr="0093704C">
        <w:rPr>
          <w:rFonts w:ascii="Verdana" w:hAnsi="Verdana" w:cs="Times New Roman"/>
          <w:sz w:val="22"/>
          <w:szCs w:val="22"/>
        </w:rPr>
        <w:t xml:space="preserve">The Roundtable offers an opportunity for the Flourishing Scotland project and the LINK representative on the </w:t>
      </w:r>
      <w:r w:rsidR="00AF03BC" w:rsidRPr="0093704C">
        <w:rPr>
          <w:rFonts w:ascii="Verdana" w:hAnsi="Verdana" w:cs="Times New Roman"/>
          <w:sz w:val="22"/>
          <w:szCs w:val="22"/>
        </w:rPr>
        <w:t>R</w:t>
      </w:r>
      <w:r w:rsidRPr="0093704C">
        <w:rPr>
          <w:rFonts w:ascii="Verdana" w:hAnsi="Verdana" w:cs="Times New Roman"/>
          <w:sz w:val="22"/>
          <w:szCs w:val="22"/>
        </w:rPr>
        <w:t xml:space="preserve">oundtable should use </w:t>
      </w:r>
      <w:r w:rsidR="000761D8" w:rsidRPr="0093704C">
        <w:rPr>
          <w:rFonts w:ascii="Verdana" w:hAnsi="Verdana" w:cs="Times New Roman"/>
          <w:sz w:val="22"/>
          <w:szCs w:val="22"/>
        </w:rPr>
        <w:t>the Policy Officer</w:t>
      </w:r>
      <w:r w:rsidRPr="0093704C">
        <w:rPr>
          <w:rFonts w:ascii="Verdana" w:hAnsi="Verdana" w:cs="Times New Roman"/>
          <w:sz w:val="22"/>
          <w:szCs w:val="22"/>
        </w:rPr>
        <w:t xml:space="preserve"> to source information/research if it could help in any way to increase the </w:t>
      </w:r>
      <w:r w:rsidR="00E13D80" w:rsidRPr="0093704C">
        <w:rPr>
          <w:rFonts w:ascii="Verdana" w:hAnsi="Verdana" w:cs="Times New Roman"/>
          <w:sz w:val="22"/>
          <w:szCs w:val="22"/>
        </w:rPr>
        <w:t xml:space="preserve">impact </w:t>
      </w:r>
      <w:r w:rsidRPr="0093704C">
        <w:rPr>
          <w:rFonts w:ascii="Verdana" w:hAnsi="Verdana" w:cs="Times New Roman"/>
          <w:sz w:val="22"/>
          <w:szCs w:val="22"/>
        </w:rPr>
        <w:t xml:space="preserve">of LINK input to discussions. </w:t>
      </w:r>
    </w:p>
    <w:p w14:paraId="3B817EAC" w14:textId="77777777" w:rsidR="00F230F8" w:rsidRPr="0093704C" w:rsidRDefault="00F230F8" w:rsidP="00F230F8">
      <w:pPr>
        <w:pStyle w:val="ListParagraph"/>
        <w:ind w:left="0"/>
        <w:rPr>
          <w:rFonts w:ascii="Verdana" w:hAnsi="Verdana" w:cs="Times New Roman"/>
          <w:sz w:val="22"/>
          <w:szCs w:val="22"/>
        </w:rPr>
      </w:pPr>
    </w:p>
    <w:p w14:paraId="71E56A24" w14:textId="777C39E9" w:rsidR="00F230F8" w:rsidRPr="0093704C" w:rsidRDefault="00F230F8" w:rsidP="00F230F8">
      <w:pPr>
        <w:pStyle w:val="ListParagraph"/>
        <w:ind w:left="0"/>
        <w:rPr>
          <w:rFonts w:ascii="Verdana" w:hAnsi="Verdana" w:cs="Times New Roman"/>
          <w:sz w:val="22"/>
          <w:szCs w:val="22"/>
        </w:rPr>
      </w:pPr>
      <w:r w:rsidRPr="0093704C">
        <w:rPr>
          <w:rFonts w:ascii="Verdana" w:hAnsi="Verdana" w:cs="Times New Roman"/>
          <w:sz w:val="22"/>
          <w:szCs w:val="22"/>
        </w:rPr>
        <w:t xml:space="preserve">Because of the sensitivity of the Roundtable, the Flourishing Scotland project, whilst continuing with soft advocacy and keeping close tabs on the reform of the NFP, should consider shifting advocacy focus to a more general ‘beyond GDP’ message.  </w:t>
      </w:r>
    </w:p>
    <w:p w14:paraId="468F0784" w14:textId="77777777" w:rsidR="00F230F8" w:rsidRPr="0093704C" w:rsidRDefault="00F230F8">
      <w:pPr>
        <w:pStyle w:val="Body"/>
        <w:rPr>
          <w:rFonts w:ascii="Verdana" w:hAnsi="Verdana" w:cs="Times New Roman"/>
          <w:b/>
          <w:bCs/>
          <w:sz w:val="22"/>
          <w:szCs w:val="22"/>
        </w:rPr>
      </w:pPr>
    </w:p>
    <w:p w14:paraId="7B4B2089" w14:textId="3C222943" w:rsidR="0045389F" w:rsidRPr="0093704C" w:rsidRDefault="00AB4F16" w:rsidP="005D0EC0">
      <w:pPr>
        <w:pStyle w:val="Body"/>
        <w:rPr>
          <w:rFonts w:ascii="Verdana" w:hAnsi="Verdana" w:cs="Times New Roman"/>
          <w:sz w:val="22"/>
          <w:szCs w:val="22"/>
        </w:rPr>
      </w:pPr>
      <w:r w:rsidRPr="0093704C">
        <w:rPr>
          <w:rFonts w:ascii="Verdana" w:hAnsi="Verdana" w:cs="Times New Roman"/>
          <w:sz w:val="22"/>
          <w:szCs w:val="22"/>
        </w:rPr>
        <w:t xml:space="preserve">Research shows that one to one meetings and the media are the most effective ways to convey messages and so efforts </w:t>
      </w:r>
      <w:r w:rsidR="001A4BA3" w:rsidRPr="0093704C">
        <w:rPr>
          <w:rFonts w:ascii="Verdana" w:hAnsi="Verdana" w:cs="Times New Roman"/>
          <w:sz w:val="22"/>
          <w:szCs w:val="22"/>
        </w:rPr>
        <w:t xml:space="preserve">should be focused </w:t>
      </w:r>
      <w:r w:rsidRPr="0093704C">
        <w:rPr>
          <w:rFonts w:ascii="Verdana" w:hAnsi="Verdana" w:cs="Times New Roman"/>
          <w:sz w:val="22"/>
          <w:szCs w:val="22"/>
        </w:rPr>
        <w:t xml:space="preserve">here.  </w:t>
      </w:r>
      <w:r w:rsidR="00F74DDB">
        <w:rPr>
          <w:rFonts w:ascii="Verdana" w:hAnsi="Verdana" w:cs="Times New Roman"/>
          <w:sz w:val="22"/>
          <w:szCs w:val="22"/>
        </w:rPr>
        <w:t xml:space="preserve"> </w:t>
      </w:r>
      <w:r w:rsidR="000A0ADE">
        <w:rPr>
          <w:rFonts w:ascii="Verdana" w:hAnsi="Verdana" w:cs="Times New Roman"/>
          <w:sz w:val="22"/>
          <w:szCs w:val="22"/>
        </w:rPr>
        <w:t xml:space="preserve"> </w:t>
      </w:r>
      <w:r w:rsidR="000761D8" w:rsidRPr="0093704C">
        <w:rPr>
          <w:rFonts w:ascii="Verdana" w:hAnsi="Verdana" w:cs="Times New Roman"/>
          <w:sz w:val="22"/>
          <w:szCs w:val="22"/>
        </w:rPr>
        <w:t xml:space="preserve">Suggestions are </w:t>
      </w:r>
      <w:r w:rsidR="001A4BA3" w:rsidRPr="0093704C">
        <w:rPr>
          <w:rFonts w:ascii="Verdana" w:hAnsi="Verdana" w:cs="Times New Roman"/>
          <w:sz w:val="22"/>
          <w:szCs w:val="22"/>
        </w:rPr>
        <w:t>to</w:t>
      </w:r>
      <w:r w:rsidR="000A0ADE">
        <w:rPr>
          <w:rFonts w:ascii="Verdana" w:hAnsi="Verdana" w:cs="Times New Roman"/>
          <w:sz w:val="22"/>
          <w:szCs w:val="22"/>
        </w:rPr>
        <w:t xml:space="preserve"> develop a clear</w:t>
      </w:r>
      <w:r w:rsidRPr="0093704C">
        <w:rPr>
          <w:rFonts w:ascii="Verdana" w:hAnsi="Verdana" w:cs="Times New Roman"/>
          <w:sz w:val="22"/>
          <w:szCs w:val="22"/>
        </w:rPr>
        <w:t xml:space="preserve"> </w:t>
      </w:r>
      <w:r w:rsidR="001A4BA3" w:rsidRPr="0093704C">
        <w:rPr>
          <w:rFonts w:ascii="Verdana" w:hAnsi="Verdana" w:cs="Times New Roman"/>
          <w:sz w:val="22"/>
          <w:szCs w:val="22"/>
        </w:rPr>
        <w:t>succinct message</w:t>
      </w:r>
      <w:r w:rsidR="00E40BC7">
        <w:rPr>
          <w:rFonts w:ascii="Verdana" w:hAnsi="Verdana" w:cs="Times New Roman"/>
          <w:sz w:val="22"/>
          <w:szCs w:val="22"/>
        </w:rPr>
        <w:t>,</w:t>
      </w:r>
      <w:r w:rsidRPr="0093704C">
        <w:rPr>
          <w:rFonts w:ascii="Verdana" w:hAnsi="Verdana" w:cs="Times New Roman"/>
          <w:sz w:val="22"/>
          <w:szCs w:val="22"/>
        </w:rPr>
        <w:t xml:space="preserve"> make sure we have </w:t>
      </w:r>
      <w:r w:rsidR="001A4BA3" w:rsidRPr="0093704C">
        <w:rPr>
          <w:rFonts w:ascii="Verdana" w:hAnsi="Verdana" w:cs="Times New Roman"/>
          <w:sz w:val="22"/>
          <w:szCs w:val="22"/>
        </w:rPr>
        <w:t>responses</w:t>
      </w:r>
      <w:r w:rsidRPr="0093704C">
        <w:rPr>
          <w:rFonts w:ascii="Verdana" w:hAnsi="Verdana" w:cs="Times New Roman"/>
          <w:sz w:val="22"/>
          <w:szCs w:val="22"/>
        </w:rPr>
        <w:t xml:space="preserve"> for ‘tricky</w:t>
      </w:r>
      <w:r w:rsidRPr="0093704C">
        <w:rPr>
          <w:rFonts w:ascii="Verdana" w:hAnsi="Verdana" w:cs="Times New Roman"/>
          <w:sz w:val="22"/>
          <w:szCs w:val="22"/>
          <w:lang w:val="fr-FR"/>
        </w:rPr>
        <w:t xml:space="preserve">’ </w:t>
      </w:r>
      <w:r w:rsidRPr="0093704C">
        <w:rPr>
          <w:rFonts w:ascii="Verdana" w:hAnsi="Verdana" w:cs="Times New Roman"/>
          <w:sz w:val="22"/>
          <w:szCs w:val="22"/>
        </w:rPr>
        <w:t>questions</w:t>
      </w:r>
      <w:r w:rsidR="00E40BC7">
        <w:rPr>
          <w:rFonts w:ascii="Verdana" w:hAnsi="Verdana" w:cs="Times New Roman"/>
          <w:sz w:val="22"/>
          <w:szCs w:val="22"/>
        </w:rPr>
        <w:t xml:space="preserve"> and think of ‘stories’ which might be of interest to the media and snappy lines that could be used for a social media campaign</w:t>
      </w:r>
      <w:r w:rsidRPr="0093704C">
        <w:rPr>
          <w:rFonts w:ascii="Verdana" w:hAnsi="Verdana" w:cs="Times New Roman"/>
          <w:sz w:val="22"/>
          <w:szCs w:val="22"/>
        </w:rPr>
        <w:t xml:space="preserve">. </w:t>
      </w:r>
      <w:r w:rsidR="001A4BA3" w:rsidRPr="0093704C">
        <w:rPr>
          <w:rFonts w:ascii="Verdana" w:hAnsi="Verdana" w:cs="Times New Roman"/>
          <w:sz w:val="22"/>
          <w:szCs w:val="22"/>
        </w:rPr>
        <w:t xml:space="preserve"> </w:t>
      </w:r>
      <w:r w:rsidR="00E40BC7">
        <w:rPr>
          <w:rFonts w:ascii="Verdana" w:hAnsi="Verdana" w:cs="Times New Roman"/>
          <w:sz w:val="22"/>
          <w:szCs w:val="22"/>
        </w:rPr>
        <w:t xml:space="preserve">We should work closely with our allies and consider joint events or campaigns where possible.  </w:t>
      </w:r>
      <w:r w:rsidR="001A4BA3" w:rsidRPr="0093704C">
        <w:rPr>
          <w:rFonts w:ascii="Verdana" w:hAnsi="Verdana" w:cs="Times New Roman"/>
          <w:sz w:val="22"/>
          <w:szCs w:val="22"/>
        </w:rPr>
        <w:t>O</w:t>
      </w:r>
      <w:r w:rsidRPr="0093704C">
        <w:rPr>
          <w:rFonts w:ascii="Verdana" w:hAnsi="Verdana" w:cs="Times New Roman"/>
          <w:sz w:val="22"/>
          <w:szCs w:val="22"/>
        </w:rPr>
        <w:t xml:space="preserve">ne to one meetings </w:t>
      </w:r>
      <w:r w:rsidR="001A4BA3" w:rsidRPr="0093704C">
        <w:rPr>
          <w:rFonts w:ascii="Verdana" w:hAnsi="Verdana" w:cs="Times New Roman"/>
          <w:sz w:val="22"/>
          <w:szCs w:val="22"/>
        </w:rPr>
        <w:t>should continue and a</w:t>
      </w:r>
      <w:r w:rsidRPr="0093704C">
        <w:rPr>
          <w:rFonts w:ascii="Verdana" w:hAnsi="Verdana" w:cs="Times New Roman"/>
          <w:sz w:val="22"/>
          <w:szCs w:val="22"/>
        </w:rPr>
        <w:t xml:space="preserve"> </w:t>
      </w:r>
      <w:r w:rsidR="00E97390" w:rsidRPr="0093704C">
        <w:rPr>
          <w:rFonts w:ascii="Verdana" w:hAnsi="Verdana" w:cs="Times New Roman"/>
          <w:sz w:val="22"/>
          <w:szCs w:val="22"/>
        </w:rPr>
        <w:t xml:space="preserve">campaign and </w:t>
      </w:r>
      <w:r w:rsidRPr="0093704C">
        <w:rPr>
          <w:rFonts w:ascii="Verdana" w:hAnsi="Verdana" w:cs="Times New Roman"/>
          <w:sz w:val="22"/>
          <w:szCs w:val="22"/>
        </w:rPr>
        <w:t>media strategy</w:t>
      </w:r>
      <w:r w:rsidR="001A4BA3" w:rsidRPr="0093704C">
        <w:rPr>
          <w:rFonts w:ascii="Verdana" w:hAnsi="Verdana" w:cs="Times New Roman"/>
          <w:sz w:val="22"/>
          <w:szCs w:val="22"/>
        </w:rPr>
        <w:t xml:space="preserve"> developed</w:t>
      </w:r>
      <w:r w:rsidRPr="0093704C">
        <w:rPr>
          <w:rFonts w:ascii="Verdana" w:hAnsi="Verdana" w:cs="Times New Roman"/>
          <w:sz w:val="22"/>
          <w:szCs w:val="22"/>
        </w:rPr>
        <w:t>.</w:t>
      </w:r>
      <w:r w:rsidR="00F74DDB">
        <w:rPr>
          <w:rFonts w:ascii="Verdana" w:hAnsi="Verdana" w:cs="Times New Roman"/>
          <w:sz w:val="22"/>
          <w:szCs w:val="22"/>
        </w:rPr>
        <w:t xml:space="preserve"> </w:t>
      </w:r>
      <w:r w:rsidRPr="0093704C">
        <w:rPr>
          <w:rFonts w:ascii="Verdana" w:hAnsi="Verdana" w:cs="Times New Roman"/>
          <w:sz w:val="22"/>
          <w:szCs w:val="22"/>
        </w:rPr>
        <w:t>We also need to produce information for our members and decide how to engage the wider policy community.</w:t>
      </w:r>
    </w:p>
    <w:p w14:paraId="1BA5DD76" w14:textId="77777777" w:rsidR="0045389F" w:rsidRPr="0093704C" w:rsidRDefault="0045389F">
      <w:pPr>
        <w:pStyle w:val="Body"/>
        <w:rPr>
          <w:rFonts w:ascii="Verdana" w:hAnsi="Verdana" w:cs="Times New Roman"/>
          <w:sz w:val="22"/>
          <w:szCs w:val="22"/>
        </w:rPr>
      </w:pPr>
    </w:p>
    <w:p w14:paraId="2B723F0A" w14:textId="77777777" w:rsidR="00E15D0C" w:rsidRPr="0093704C" w:rsidRDefault="00E15D0C">
      <w:pPr>
        <w:pStyle w:val="Body"/>
        <w:rPr>
          <w:rFonts w:ascii="Verdana" w:hAnsi="Verdana" w:cs="Times New Roman"/>
          <w:sz w:val="22"/>
          <w:szCs w:val="22"/>
        </w:rPr>
      </w:pPr>
    </w:p>
    <w:p w14:paraId="58E931E8" w14:textId="77777777" w:rsidR="00E15D0C" w:rsidRPr="0093704C" w:rsidRDefault="00E15D0C">
      <w:pPr>
        <w:pStyle w:val="Body"/>
        <w:rPr>
          <w:rFonts w:ascii="Verdana" w:hAnsi="Verdana" w:cs="Times New Roman"/>
          <w:sz w:val="22"/>
          <w:szCs w:val="22"/>
        </w:rPr>
      </w:pPr>
    </w:p>
    <w:p w14:paraId="052C71DE" w14:textId="632637AA" w:rsidR="00E15D0C" w:rsidRPr="0093704C" w:rsidRDefault="00E15D0C">
      <w:pPr>
        <w:rPr>
          <w:rFonts w:ascii="Verdana" w:eastAsia="Cambria" w:hAnsi="Verdana"/>
          <w:color w:val="000000"/>
          <w:sz w:val="22"/>
          <w:szCs w:val="22"/>
          <w:u w:color="000000"/>
        </w:rPr>
      </w:pPr>
      <w:r w:rsidRPr="0093704C">
        <w:rPr>
          <w:rFonts w:ascii="Verdana" w:hAnsi="Verdana"/>
          <w:sz w:val="22"/>
          <w:szCs w:val="22"/>
        </w:rPr>
        <w:br w:type="page"/>
      </w:r>
    </w:p>
    <w:p w14:paraId="4C325DE2" w14:textId="77777777" w:rsidR="00E15D0C" w:rsidRPr="0093704C" w:rsidRDefault="00E15D0C">
      <w:pPr>
        <w:pStyle w:val="Body"/>
        <w:rPr>
          <w:rFonts w:ascii="Verdana" w:hAnsi="Verdana" w:cs="Times New Roman"/>
          <w:sz w:val="22"/>
          <w:szCs w:val="22"/>
        </w:rPr>
      </w:pPr>
    </w:p>
    <w:p w14:paraId="15190A4C" w14:textId="0B1CBD75" w:rsidR="00E15D0C" w:rsidRPr="00950E2A" w:rsidRDefault="00E15D0C">
      <w:pPr>
        <w:pStyle w:val="Body"/>
        <w:rPr>
          <w:rFonts w:ascii="Verdana" w:hAnsi="Verdana" w:cs="Times New Roman"/>
          <w:b/>
        </w:rPr>
      </w:pPr>
      <w:r w:rsidRPr="00950E2A">
        <w:rPr>
          <w:rFonts w:ascii="Verdana" w:hAnsi="Verdana" w:cs="Times New Roman"/>
          <w:b/>
        </w:rPr>
        <w:t>ANNEX 1</w:t>
      </w:r>
    </w:p>
    <w:p w14:paraId="7CACC55F" w14:textId="77777777" w:rsidR="00E15D0C" w:rsidRPr="0093704C" w:rsidRDefault="00E15D0C">
      <w:pPr>
        <w:pStyle w:val="Body"/>
        <w:rPr>
          <w:rFonts w:ascii="Verdana" w:hAnsi="Verdana" w:cs="Times New Roman"/>
          <w:sz w:val="22"/>
          <w:szCs w:val="22"/>
        </w:rPr>
      </w:pPr>
    </w:p>
    <w:p w14:paraId="68312A06" w14:textId="77777777" w:rsidR="00E15D0C" w:rsidRPr="0093704C" w:rsidRDefault="00E15D0C" w:rsidP="00E15D0C">
      <w:pPr>
        <w:rPr>
          <w:rFonts w:ascii="Verdana" w:hAnsi="Verdana"/>
          <w:b/>
          <w:sz w:val="22"/>
          <w:szCs w:val="22"/>
        </w:rPr>
      </w:pPr>
      <w:r w:rsidRPr="0093704C">
        <w:rPr>
          <w:rFonts w:ascii="Verdana" w:hAnsi="Verdana"/>
          <w:b/>
          <w:sz w:val="22"/>
          <w:szCs w:val="22"/>
        </w:rPr>
        <w:t>Short spec for Briefing on FS work on NPF and Scotland Performs</w:t>
      </w:r>
    </w:p>
    <w:p w14:paraId="41260FF5" w14:textId="77777777" w:rsidR="00E15D0C" w:rsidRPr="0093704C" w:rsidRDefault="00E15D0C" w:rsidP="00E15D0C">
      <w:pPr>
        <w:rPr>
          <w:rFonts w:ascii="Verdana" w:hAnsi="Verdana"/>
          <w:sz w:val="22"/>
          <w:szCs w:val="22"/>
        </w:rPr>
      </w:pPr>
    </w:p>
    <w:p w14:paraId="6C3EF36E" w14:textId="77777777" w:rsidR="00E15D0C" w:rsidRPr="0093704C" w:rsidRDefault="00E15D0C" w:rsidP="00E15D0C">
      <w:pPr>
        <w:rPr>
          <w:rFonts w:ascii="Verdana" w:hAnsi="Verdana"/>
          <w:sz w:val="22"/>
          <w:szCs w:val="22"/>
        </w:rPr>
      </w:pPr>
      <w:r w:rsidRPr="0093704C">
        <w:rPr>
          <w:rFonts w:ascii="Verdana" w:hAnsi="Verdana"/>
          <w:sz w:val="22"/>
          <w:szCs w:val="22"/>
        </w:rPr>
        <w:t>Purpose:</w:t>
      </w:r>
    </w:p>
    <w:p w14:paraId="460DC377" w14:textId="77777777" w:rsidR="00E15D0C" w:rsidRPr="0093704C" w:rsidRDefault="00E15D0C" w:rsidP="00E15D0C">
      <w:pPr>
        <w:rPr>
          <w:rFonts w:ascii="Verdana" w:hAnsi="Verdana"/>
          <w:sz w:val="22"/>
          <w:szCs w:val="22"/>
        </w:rPr>
      </w:pPr>
    </w:p>
    <w:p w14:paraId="1910737D" w14:textId="77777777" w:rsidR="00E15D0C" w:rsidRPr="0093704C" w:rsidRDefault="00E15D0C" w:rsidP="00E15D0C">
      <w:pPr>
        <w:rPr>
          <w:rFonts w:ascii="Verdana" w:hAnsi="Verdana"/>
          <w:sz w:val="22"/>
          <w:szCs w:val="22"/>
        </w:rPr>
      </w:pPr>
      <w:r w:rsidRPr="0093704C">
        <w:rPr>
          <w:rFonts w:ascii="Verdana" w:hAnsi="Verdana"/>
          <w:sz w:val="22"/>
          <w:szCs w:val="22"/>
        </w:rPr>
        <w:t>To provide LINK’s ETF with an overview of the state of play regarding the development of the NPF and the related issues of importance to LINK.</w:t>
      </w:r>
    </w:p>
    <w:p w14:paraId="272B5249" w14:textId="77777777" w:rsidR="00E15D0C" w:rsidRPr="0093704C" w:rsidRDefault="00E15D0C" w:rsidP="00E15D0C">
      <w:pPr>
        <w:rPr>
          <w:rFonts w:ascii="Verdana" w:hAnsi="Verdana"/>
          <w:sz w:val="22"/>
          <w:szCs w:val="22"/>
        </w:rPr>
      </w:pPr>
    </w:p>
    <w:p w14:paraId="4400861F" w14:textId="182BAC53" w:rsidR="00E15D0C" w:rsidRPr="0093704C" w:rsidRDefault="00E15D0C" w:rsidP="00E15D0C">
      <w:pPr>
        <w:rPr>
          <w:rFonts w:ascii="Verdana" w:hAnsi="Verdana"/>
          <w:sz w:val="22"/>
          <w:szCs w:val="22"/>
        </w:rPr>
      </w:pPr>
      <w:r w:rsidRPr="0093704C">
        <w:rPr>
          <w:rFonts w:ascii="Verdana" w:hAnsi="Verdana"/>
          <w:sz w:val="22"/>
          <w:szCs w:val="22"/>
        </w:rPr>
        <w:t>The content should include information relating to specific aspects of the Flourishing Scotland project like indicators of sustainability and (mis)use of GDP; and the opportunities for achieving objectives and the obstacles and challenges to that. It should include also an initial view of the wider territory, e.g. the variety of measures of wellbeing and environmental impact which exists. It should conclude with suggestions about the work programme and the inputs needed (within and without LINK) and the scope for LINK members to participate.</w:t>
      </w:r>
    </w:p>
    <w:p w14:paraId="689CF35D" w14:textId="77777777" w:rsidR="00E15D0C" w:rsidRPr="0093704C" w:rsidRDefault="00E15D0C">
      <w:pPr>
        <w:pStyle w:val="Body"/>
        <w:rPr>
          <w:rFonts w:ascii="Verdana" w:hAnsi="Verdana" w:cs="Times New Roman"/>
          <w:sz w:val="22"/>
          <w:szCs w:val="22"/>
        </w:rPr>
      </w:pPr>
    </w:p>
    <w:p w14:paraId="6CD91D0E" w14:textId="77777777" w:rsidR="0045389F" w:rsidRPr="0093704C" w:rsidRDefault="0045389F">
      <w:pPr>
        <w:pStyle w:val="BodyA"/>
        <w:rPr>
          <w:rFonts w:ascii="Verdana" w:hAnsi="Verdana" w:cs="Times New Roman"/>
        </w:rPr>
      </w:pPr>
    </w:p>
    <w:sectPr w:rsidR="0045389F" w:rsidRPr="0093704C" w:rsidSect="005731E8">
      <w:headerReference w:type="default" r:id="rId20"/>
      <w:footerReference w:type="default" r:id="rId21"/>
      <w:pgSz w:w="11900" w:h="16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3D2AFE" w14:textId="77777777" w:rsidR="00B82186" w:rsidRDefault="00B82186">
      <w:r>
        <w:separator/>
      </w:r>
    </w:p>
  </w:endnote>
  <w:endnote w:type="continuationSeparator" w:id="0">
    <w:p w14:paraId="55C82618" w14:textId="77777777" w:rsidR="00B82186" w:rsidRDefault="00B82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Roman">
    <w:altName w:val="Times New Roman"/>
    <w:charset w:val="00"/>
    <w:family w:val="roman"/>
    <w:pitch w:val="default"/>
  </w:font>
  <w:font w:name="Lucida Grande">
    <w:altName w:val="Arial"/>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A9C0B" w14:textId="77777777" w:rsidR="005731E8" w:rsidRDefault="005731E8" w:rsidP="003948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A333B4" w14:textId="77777777" w:rsidR="005731E8" w:rsidRDefault="005731E8" w:rsidP="005731E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4948DE" w14:textId="65899295" w:rsidR="00B82186" w:rsidRPr="00C547A3" w:rsidRDefault="00B82186" w:rsidP="00B82186">
    <w:pPr>
      <w:jc w:val="center"/>
      <w:rPr>
        <w:rFonts w:ascii="Verdana" w:eastAsia="Times New Roman" w:hAnsi="Verdana"/>
        <w:sz w:val="16"/>
        <w:szCs w:val="16"/>
      </w:rPr>
    </w:pPr>
    <w:r w:rsidRPr="003E2F9D">
      <w:rPr>
        <w:rFonts w:ascii="Verdana" w:eastAsia="Times New Roman" w:hAnsi="Verdana"/>
        <w:sz w:val="16"/>
        <w:szCs w:val="16"/>
      </w:rPr>
      <w:t>Contact for Flourish</w:t>
    </w:r>
    <w:r>
      <w:rPr>
        <w:rFonts w:ascii="Verdana" w:eastAsia="Times New Roman" w:hAnsi="Verdana"/>
        <w:sz w:val="16"/>
        <w:szCs w:val="16"/>
      </w:rPr>
      <w:t>in</w:t>
    </w:r>
    <w:r w:rsidRPr="003E2F9D">
      <w:rPr>
        <w:rFonts w:ascii="Verdana" w:eastAsia="Times New Roman" w:hAnsi="Verdana"/>
        <w:sz w:val="16"/>
        <w:szCs w:val="16"/>
      </w:rPr>
      <w:t xml:space="preserve">g Scotland Project: Phoebe Cochrane, </w:t>
    </w:r>
    <w:hyperlink r:id="rId1" w:history="1">
      <w:r w:rsidRPr="003E2F9D">
        <w:rPr>
          <w:rStyle w:val="Hyperlink"/>
          <w:rFonts w:ascii="Verdana" w:eastAsia="Times New Roman" w:hAnsi="Verdana"/>
          <w:sz w:val="16"/>
          <w:szCs w:val="16"/>
        </w:rPr>
        <w:t>phoebe@scotlink.org</w:t>
      </w:r>
    </w:hyperlink>
    <w:r>
      <w:rPr>
        <w:rFonts w:ascii="Verdana" w:eastAsia="Times New Roman" w:hAnsi="Verdana"/>
        <w:sz w:val="16"/>
        <w:szCs w:val="16"/>
      </w:rPr>
      <w:t>, 0131 243 272</w:t>
    </w:r>
    <w:r w:rsidR="00A44B9C">
      <w:rPr>
        <w:rFonts w:ascii="Verdana" w:eastAsia="Times New Roman" w:hAnsi="Verdana"/>
        <w:sz w:val="16"/>
        <w:szCs w:val="16"/>
      </w:rPr>
      <w:t>3</w:t>
    </w:r>
  </w:p>
  <w:p w14:paraId="054D8124" w14:textId="468485EC" w:rsidR="00B82186" w:rsidRDefault="00B82186">
    <w:pPr>
      <w:pStyle w:val="Footer"/>
      <w:tabs>
        <w:tab w:val="clear" w:pos="8640"/>
        <w:tab w:val="right" w:pos="8280"/>
      </w:tabs>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4FBE2" w14:textId="77777777" w:rsidR="00A44B9C" w:rsidRDefault="00A44B9C">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129F6" w14:textId="77777777" w:rsidR="005731E8" w:rsidRDefault="005731E8" w:rsidP="003948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E6666">
      <w:rPr>
        <w:rStyle w:val="PageNumber"/>
        <w:noProof/>
      </w:rPr>
      <w:t>5</w:t>
    </w:r>
    <w:r>
      <w:rPr>
        <w:rStyle w:val="PageNumber"/>
      </w:rPr>
      <w:fldChar w:fldCharType="end"/>
    </w:r>
  </w:p>
  <w:p w14:paraId="61911A62" w14:textId="77777777" w:rsidR="005731E8" w:rsidRDefault="005731E8" w:rsidP="005731E8">
    <w:pPr>
      <w:pStyle w:val="Footer"/>
      <w:tabs>
        <w:tab w:val="clear" w:pos="8640"/>
        <w:tab w:val="right" w:pos="8280"/>
      </w:tabs>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29CE01" w14:textId="77777777" w:rsidR="00B82186" w:rsidRDefault="00B82186">
      <w:r>
        <w:separator/>
      </w:r>
    </w:p>
  </w:footnote>
  <w:footnote w:type="continuationSeparator" w:id="0">
    <w:p w14:paraId="640A64DA" w14:textId="77777777" w:rsidR="00B82186" w:rsidRDefault="00B82186">
      <w:r>
        <w:continuationSeparator/>
      </w:r>
    </w:p>
  </w:footnote>
  <w:footnote w:type="continuationNotice" w:id="1">
    <w:p w14:paraId="146E109C" w14:textId="77777777" w:rsidR="00B82186" w:rsidRDefault="00B82186"/>
  </w:footnote>
  <w:footnote w:id="2">
    <w:p w14:paraId="1353FD5A" w14:textId="77777777" w:rsidR="00B82186" w:rsidRPr="00B82186" w:rsidRDefault="00B82186">
      <w:pPr>
        <w:pStyle w:val="FootnoteText"/>
        <w:rPr>
          <w:rFonts w:ascii="Verdana" w:hAnsi="Verdana"/>
          <w:sz w:val="18"/>
          <w:szCs w:val="18"/>
        </w:rPr>
      </w:pPr>
      <w:r w:rsidRPr="00B82186">
        <w:rPr>
          <w:rFonts w:ascii="Verdana" w:hAnsi="Verdana"/>
          <w:sz w:val="18"/>
          <w:szCs w:val="18"/>
          <w:vertAlign w:val="superscript"/>
        </w:rPr>
        <w:footnoteRef/>
      </w:r>
      <w:r w:rsidRPr="00B82186">
        <w:rPr>
          <w:rFonts w:ascii="Verdana" w:hAnsi="Verdana"/>
          <w:sz w:val="18"/>
          <w:szCs w:val="18"/>
        </w:rPr>
        <w:t xml:space="preserve"> </w:t>
      </w:r>
      <w:hyperlink r:id="rId1" w:history="1">
        <w:r w:rsidRPr="00B82186">
          <w:rPr>
            <w:rStyle w:val="Hyperlink0"/>
            <w:rFonts w:ascii="Verdana" w:hAnsi="Verdana"/>
            <w:sz w:val="18"/>
            <w:szCs w:val="18"/>
          </w:rPr>
          <w:t>http://www.scotland.gov.uk/About/Performance/scotPerforms</w:t>
        </w:r>
      </w:hyperlink>
    </w:p>
  </w:footnote>
  <w:footnote w:id="3">
    <w:p w14:paraId="182B1893" w14:textId="77777777" w:rsidR="00B82186" w:rsidRPr="00B82186" w:rsidRDefault="00B82186">
      <w:pPr>
        <w:pStyle w:val="FootnoteText"/>
        <w:rPr>
          <w:rFonts w:ascii="Verdana" w:hAnsi="Verdana"/>
          <w:sz w:val="18"/>
          <w:szCs w:val="18"/>
        </w:rPr>
      </w:pPr>
      <w:r w:rsidRPr="00B82186">
        <w:rPr>
          <w:rFonts w:ascii="Verdana" w:hAnsi="Verdana"/>
          <w:sz w:val="18"/>
          <w:szCs w:val="18"/>
          <w:vertAlign w:val="superscript"/>
        </w:rPr>
        <w:footnoteRef/>
      </w:r>
      <w:r w:rsidRPr="00B82186">
        <w:rPr>
          <w:rFonts w:ascii="Verdana" w:hAnsi="Verdana"/>
          <w:sz w:val="18"/>
          <w:szCs w:val="18"/>
        </w:rPr>
        <w:t xml:space="preserve"> http://vaperforms.virginia.gov/</w:t>
      </w:r>
    </w:p>
  </w:footnote>
  <w:footnote w:id="4">
    <w:p w14:paraId="485A7FB1" w14:textId="77777777" w:rsidR="00B82186" w:rsidRPr="004D0115" w:rsidRDefault="00B82186">
      <w:pPr>
        <w:pStyle w:val="FootnoteText"/>
        <w:rPr>
          <w:rFonts w:ascii="Verdana" w:hAnsi="Verdana"/>
          <w:sz w:val="18"/>
          <w:szCs w:val="18"/>
        </w:rPr>
      </w:pPr>
      <w:r w:rsidRPr="00B82186">
        <w:rPr>
          <w:rFonts w:ascii="Verdana" w:hAnsi="Verdana"/>
          <w:sz w:val="18"/>
          <w:szCs w:val="18"/>
          <w:vertAlign w:val="superscript"/>
        </w:rPr>
        <w:footnoteRef/>
      </w:r>
      <w:r w:rsidRPr="00B82186">
        <w:rPr>
          <w:rFonts w:ascii="Verdana" w:hAnsi="Verdana"/>
          <w:sz w:val="18"/>
          <w:szCs w:val="18"/>
        </w:rPr>
        <w:t xml:space="preserve"> Wallace, 2013. Shifting the Dial in Scotland.  Carnegie UK Trust.</w:t>
      </w:r>
    </w:p>
  </w:footnote>
  <w:footnote w:id="5">
    <w:p w14:paraId="52E17D4B"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Presentation by Anne-Marie Conlong at GLADS seminar, 25 Feb 2014.      http://www.scottishinsight.ac.uk/Programmes/Wellbeing2014/GLADSGoodLivesAndDecentSocieties.aspx</w:t>
      </w:r>
    </w:p>
  </w:footnote>
  <w:footnote w:id="6">
    <w:p w14:paraId="2F9097D7" w14:textId="502F73E8"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Wallace, J. (2013).  Shifting the Dial in Scotland.  Carnegie UK Trust.</w:t>
      </w:r>
    </w:p>
  </w:footnote>
  <w:footnote w:id="7">
    <w:p w14:paraId="591DD4AB"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http://www.scotlink.org/documents/briefings/</w:t>
      </w:r>
    </w:p>
  </w:footnote>
  <w:footnote w:id="8">
    <w:p w14:paraId="68747B7C"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Bruntland Commission, 1987. Report to the World Commission on Environment and Development. United Nations.</w:t>
      </w:r>
    </w:p>
  </w:footnote>
  <w:footnote w:id="9">
    <w:p w14:paraId="57B23C4E" w14:textId="77777777" w:rsidR="00B82186" w:rsidRPr="00AB4F16" w:rsidRDefault="00B82186">
      <w:pPr>
        <w:pStyle w:val="FootnoteText"/>
        <w:rPr>
          <w:sz w:val="20"/>
          <w:szCs w:val="20"/>
        </w:rPr>
      </w:pPr>
      <w:r w:rsidRPr="004D0115">
        <w:rPr>
          <w:rFonts w:ascii="Verdana" w:hAnsi="Verdana"/>
          <w:sz w:val="18"/>
          <w:szCs w:val="18"/>
          <w:vertAlign w:val="superscript"/>
        </w:rPr>
        <w:footnoteRef/>
      </w:r>
      <w:r w:rsidRPr="004D0115">
        <w:rPr>
          <w:rFonts w:ascii="Verdana" w:hAnsi="Verdana"/>
          <w:sz w:val="18"/>
          <w:szCs w:val="18"/>
        </w:rPr>
        <w:t xml:space="preserve"> Scottish Executive, 2005. Choosing Our Future: Scotland’s sustainable development strategy.  Available at http://www.scotland.gov.uk/Publications/2005/12/1493902/39032</w:t>
      </w:r>
    </w:p>
  </w:footnote>
  <w:footnote w:id="10">
    <w:p w14:paraId="6BC06AA1"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Defra, (2005). One Future Different Paths – The UK shared framework for sustainable development. London. Defra</w:t>
      </w:r>
    </w:p>
  </w:footnote>
  <w:footnote w:id="11">
    <w:p w14:paraId="730C3704" w14:textId="77777777" w:rsidR="00B82186" w:rsidRPr="004D0115" w:rsidRDefault="00B82186" w:rsidP="007758C7">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http://www.scottish.parliament.uk/S4_ChamberDesk/WA20121120.pdf</w:t>
      </w:r>
    </w:p>
  </w:footnote>
  <w:footnote w:id="12">
    <w:p w14:paraId="2629D9E7" w14:textId="2C024BE2" w:rsidR="00B82186" w:rsidRPr="00656C51" w:rsidRDefault="00B82186">
      <w:pPr>
        <w:pStyle w:val="FootnoteText"/>
        <w:rPr>
          <w:sz w:val="20"/>
          <w:szCs w:val="20"/>
        </w:rPr>
      </w:pPr>
      <w:r w:rsidRPr="004D0115">
        <w:rPr>
          <w:rStyle w:val="FootnoteReference"/>
          <w:rFonts w:ascii="Verdana" w:hAnsi="Verdana"/>
          <w:sz w:val="18"/>
          <w:szCs w:val="18"/>
        </w:rPr>
        <w:footnoteRef/>
      </w:r>
      <w:r w:rsidRPr="004D0115">
        <w:rPr>
          <w:rFonts w:ascii="Verdana" w:hAnsi="Verdana"/>
          <w:sz w:val="18"/>
          <w:szCs w:val="18"/>
        </w:rPr>
        <w:t xml:space="preserve"> http://www.scotland.gov.uk/Resource/Doc/357756/0120893.pdf</w:t>
      </w:r>
    </w:p>
  </w:footnote>
  <w:footnote w:id="13">
    <w:p w14:paraId="4FC78AB7"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http://unstats.un.org/unsd/nationalaccount/</w:t>
      </w:r>
    </w:p>
  </w:footnote>
  <w:footnote w:id="14">
    <w:p w14:paraId="35215B6F"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Wakefield, S. (2011). SPICe Briefing: Alternatives to GDP.  Edinburgh: SPICe.</w:t>
      </w:r>
    </w:p>
  </w:footnote>
  <w:footnote w:id="15">
    <w:p w14:paraId="5BBD79B4"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http://www.oecd.org/site/worldforum06/</w:t>
      </w:r>
    </w:p>
  </w:footnote>
  <w:footnote w:id="16">
    <w:p w14:paraId="0EF2DA11"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http://ec.europa.eu/environment/beyond_gdp/background_en.html</w:t>
      </w:r>
    </w:p>
  </w:footnote>
  <w:footnote w:id="17">
    <w:p w14:paraId="15A47254"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http://ec.europa.eu/environment/beyond_gdp/EUroadmap_en.html</w:t>
      </w:r>
    </w:p>
  </w:footnote>
  <w:footnote w:id="18">
    <w:p w14:paraId="60C2C42D" w14:textId="77777777" w:rsidR="00B82186" w:rsidRPr="004D0115" w:rsidRDefault="00B82186">
      <w:pPr>
        <w:pStyle w:val="FootnoteText"/>
        <w:rPr>
          <w:rFonts w:ascii="Verdana" w:hAnsi="Verdana"/>
          <w:sz w:val="18"/>
          <w:szCs w:val="18"/>
        </w:rPr>
      </w:pPr>
      <w:r w:rsidRPr="004D0115">
        <w:rPr>
          <w:rFonts w:ascii="Verdana" w:hAnsi="Verdana"/>
          <w:i/>
          <w:iCs/>
          <w:sz w:val="18"/>
          <w:szCs w:val="18"/>
          <w:vertAlign w:val="superscript"/>
        </w:rPr>
        <w:footnoteRef/>
      </w:r>
      <w:r w:rsidRPr="004D0115">
        <w:rPr>
          <w:rFonts w:ascii="Verdana" w:hAnsi="Verdana"/>
          <w:sz w:val="18"/>
          <w:szCs w:val="18"/>
        </w:rPr>
        <w:t xml:space="preserve">  Stiglitz, J., Sen, A. and Fitoussi, J. (2009). Report by the Commission on the Measurement of Economic Performance and Social Progress.  OECD. Available at http://www.stiglitz-sen-fitoussi.fr/</w:t>
      </w:r>
    </w:p>
  </w:footnote>
  <w:footnote w:id="19">
    <w:p w14:paraId="2AECCD03"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http://www.brainpoolproject.eu/about-2/background/</w:t>
      </w:r>
    </w:p>
  </w:footnote>
  <w:footnote w:id="20">
    <w:p w14:paraId="5DF03E08" w14:textId="77777777" w:rsidR="00B82186" w:rsidRPr="004D0115" w:rsidRDefault="00B82186" w:rsidP="005F0B38">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http://unstats.un.org/unsd/envaccounting/seearev/</w:t>
      </w:r>
    </w:p>
  </w:footnote>
  <w:footnote w:id="21">
    <w:p w14:paraId="5981BDAF"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BRAINPOol (Bringing Alternative Indicators into Policy) is a project funded by the European Union FP7 funding stream looking at the barriers to, and opportunities for, the use of beyond GDP indicators in policy http://www.brainpoolproject.eu/</w:t>
      </w:r>
    </w:p>
  </w:footnote>
  <w:footnote w:id="22">
    <w:p w14:paraId="6156DB5B"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w:t>
      </w:r>
      <w:hyperlink r:id="rId2" w:history="1">
        <w:r w:rsidRPr="004D0115">
          <w:rPr>
            <w:rStyle w:val="Hyperlink0"/>
            <w:rFonts w:ascii="Verdana" w:hAnsi="Verdana"/>
            <w:sz w:val="18"/>
            <w:szCs w:val="18"/>
          </w:rPr>
          <w:t>http://www.brainpoolproject.eu/indicators-and-initiatives/</w:t>
        </w:r>
      </w:hyperlink>
    </w:p>
  </w:footnote>
  <w:footnote w:id="23">
    <w:p w14:paraId="5C2A2AC4"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https://www.gov.uk/government/publications/sustainable-development-indicators-sdis</w:t>
      </w:r>
    </w:p>
  </w:footnote>
  <w:footnote w:id="24">
    <w:p w14:paraId="65EADD60" w14:textId="4CEB5C64" w:rsidR="00B82186" w:rsidRPr="004D0115" w:rsidRDefault="00B82186">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http://www.ons.gov.uk/ons/guide-method/user-guidance/well-being/index.html</w:t>
      </w:r>
    </w:p>
  </w:footnote>
  <w:footnote w:id="25">
    <w:p w14:paraId="58B792F1"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http://www.oecdbetterlifeindex.org/</w:t>
      </w:r>
    </w:p>
  </w:footnote>
  <w:footnote w:id="26">
    <w:p w14:paraId="158D1D6A"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http://epp.eurostat.ec.europa.eu/statistics_explained/index.php/Quality_of_life_indicators</w:t>
      </w:r>
    </w:p>
  </w:footnote>
  <w:footnote w:id="27">
    <w:p w14:paraId="61AE3AA1"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http://hdr.undp.org/en/statistics/hdi</w:t>
      </w:r>
    </w:p>
  </w:footnote>
  <w:footnote w:id="28">
    <w:p w14:paraId="740C2B7F"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http://policy-practice.oxfam.org.uk/our-work/poverty-in-the-uk/humankind-index</w:t>
      </w:r>
    </w:p>
  </w:footnote>
  <w:footnote w:id="29">
    <w:p w14:paraId="11ED8E64"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http://www.socialprogressimperative.org/about/the-imperative</w:t>
      </w:r>
    </w:p>
  </w:footnote>
  <w:footnote w:id="30">
    <w:p w14:paraId="617C517E"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Jackson and McBride, (2005). Measuring Progress? A review of ‘adjusted’ measures of economic welfare in Europe. CES working paper 11/05. University of Surrey.</w:t>
      </w:r>
    </w:p>
  </w:footnote>
  <w:footnote w:id="31">
    <w:p w14:paraId="794F2D54"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http://www.ons.gov.uk/ons/rel/integrated-household-survey/integrated-household-survey/index.html</w:t>
      </w:r>
    </w:p>
  </w:footnote>
  <w:footnote w:id="32">
    <w:p w14:paraId="6D8AF88F"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Abdallah, A. (2011). Pursuing rising national well-being: a sisyphean challenge?  London: NEF.</w:t>
      </w:r>
    </w:p>
  </w:footnote>
  <w:footnote w:id="33">
    <w:p w14:paraId="076E6855" w14:textId="77777777" w:rsidR="00B82186" w:rsidRPr="004D0115" w:rsidRDefault="00B82186">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See Lawn, P. (2005) An assessment of the valuation methods used to calculate the index of sustainable economic welfare, genuine progress indicator and sustainable net benefit index. Environment, Development and Sustainability (2005) 7.</w:t>
      </w:r>
    </w:p>
    <w:p w14:paraId="31A54B63" w14:textId="77777777" w:rsidR="00B82186" w:rsidRPr="004D0115" w:rsidRDefault="00B82186">
      <w:pPr>
        <w:pStyle w:val="FootnoteText"/>
        <w:rPr>
          <w:rFonts w:ascii="Verdana" w:hAnsi="Verdana"/>
          <w:sz w:val="18"/>
          <w:szCs w:val="18"/>
        </w:rPr>
      </w:pPr>
      <w:r w:rsidRPr="004D0115">
        <w:rPr>
          <w:rFonts w:ascii="Verdana" w:hAnsi="Verdana"/>
          <w:sz w:val="18"/>
          <w:szCs w:val="18"/>
        </w:rPr>
        <w:t>Newmayer, E. (1999). The IESW: not an index of sustainable economic welfare.  Social indicators research 48 (1).</w:t>
      </w:r>
    </w:p>
  </w:footnote>
  <w:footnote w:id="34">
    <w:p w14:paraId="2D49EBE2" w14:textId="77777777" w:rsidR="00B82186" w:rsidRPr="004D0115" w:rsidRDefault="00B82186">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Jackson and McBride, (2005). Measuring Progress? A review of ‘adjusted’ measures of economic welfare in Europe. CES working paper 11/05. University of Surrey.</w:t>
      </w:r>
    </w:p>
  </w:footnote>
  <w:footnote w:id="35">
    <w:p w14:paraId="07EB0B8E"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http://www.footprintnetwork.org/en/index.php/GFN/</w:t>
      </w:r>
    </w:p>
  </w:footnote>
  <w:footnote w:id="36">
    <w:p w14:paraId="5F2700E1"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http://www.footprintnetwork.org/en/index.php/GFN/</w:t>
      </w:r>
    </w:p>
  </w:footnote>
  <w:footnote w:id="37">
    <w:p w14:paraId="76599DB6"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https://www.foeeurope.org/conference-report-four-footprints-policy-practice-110214</w:t>
      </w:r>
    </w:p>
  </w:footnote>
  <w:footnote w:id="38">
    <w:p w14:paraId="6704577C"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http://www.snh.gov.uk/docs/B814140.pdf</w:t>
      </w:r>
    </w:p>
  </w:footnote>
  <w:footnote w:id="39">
    <w:p w14:paraId="2C9D205E" w14:textId="77777777" w:rsidR="00B82186" w:rsidRDefault="00B82186">
      <w:pPr>
        <w:pStyle w:val="FootnoteText"/>
      </w:pPr>
      <w:r w:rsidRPr="004D0115">
        <w:rPr>
          <w:rFonts w:ascii="Verdana" w:hAnsi="Verdana"/>
          <w:bCs/>
          <w:sz w:val="18"/>
          <w:szCs w:val="18"/>
          <w:vertAlign w:val="superscript"/>
        </w:rPr>
        <w:footnoteRef/>
      </w:r>
      <w:r w:rsidRPr="004D0115">
        <w:rPr>
          <w:rFonts w:ascii="Verdana" w:hAnsi="Verdana"/>
          <w:sz w:val="18"/>
          <w:szCs w:val="18"/>
        </w:rPr>
        <w:t xml:space="preserve"> http://epi.yale.edu/</w:t>
      </w:r>
    </w:p>
  </w:footnote>
  <w:footnote w:id="40">
    <w:p w14:paraId="374CC710" w14:textId="693D80E2" w:rsidR="00B82186" w:rsidRPr="004D0115" w:rsidRDefault="00B82186">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http://www.unece.org/fileadmin/DAM/stats/documents/ece/ces/2013/SD_framework_and_indicators_final.pdf</w:t>
      </w:r>
    </w:p>
  </w:footnote>
  <w:footnote w:id="41">
    <w:p w14:paraId="574EFE4D"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Abdallah, S. et. al. (2012). The Happy Planet Index: 2012 Report. A global index of sustainable wellbeing.  London: NEF.</w:t>
      </w:r>
    </w:p>
  </w:footnote>
  <w:footnote w:id="42">
    <w:p w14:paraId="0C7EC1DE"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Taken from How’s Life 2013. Measuring Wellbeing. Available at http://www.keepeek.com/Digital-Asset-Management/oecd/economics/how-s-life-2013/measuring-the-sustainability-of-wellbeing-over-time_how_life-2013-10-en#page1</w:t>
      </w:r>
    </w:p>
  </w:footnote>
  <w:footnote w:id="43">
    <w:p w14:paraId="75E018B8" w14:textId="77777777" w:rsidR="00B82186" w:rsidRPr="004D0115" w:rsidRDefault="00B82186">
      <w:pPr>
        <w:pStyle w:val="FootnoteText"/>
        <w:rPr>
          <w:rFonts w:ascii="Verdana" w:hAnsi="Verdana"/>
          <w:sz w:val="18"/>
          <w:szCs w:val="18"/>
        </w:rPr>
      </w:pPr>
      <w:r w:rsidRPr="004D0115">
        <w:rPr>
          <w:rFonts w:ascii="Verdana" w:hAnsi="Verdana"/>
          <w:sz w:val="18"/>
          <w:szCs w:val="18"/>
          <w:vertAlign w:val="superscript"/>
        </w:rPr>
        <w:footnoteRef/>
      </w:r>
      <w:r w:rsidRPr="004D0115">
        <w:rPr>
          <w:rFonts w:ascii="Verdana" w:hAnsi="Verdana"/>
          <w:sz w:val="18"/>
          <w:szCs w:val="18"/>
        </w:rPr>
        <w:t xml:space="preserve"> http://policy-practice.oxfam.org.uk/publications/a-safe-and-just-space-for-humanity-can-we-live-within-the-doughnut-210490</w:t>
      </w:r>
    </w:p>
  </w:footnote>
  <w:footnote w:id="44">
    <w:p w14:paraId="31213817"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http://www.brainpoolproject.eu/success-factors/</w:t>
      </w:r>
    </w:p>
  </w:footnote>
  <w:footnote w:id="45">
    <w:p w14:paraId="14A6393E" w14:textId="16684E8A" w:rsidR="00B82186" w:rsidRPr="004D0115" w:rsidRDefault="00B82186">
      <w:pPr>
        <w:pStyle w:val="FootnoteText"/>
        <w:rPr>
          <w:rFonts w:ascii="Verdana" w:hAnsi="Verdana"/>
          <w:sz w:val="18"/>
          <w:szCs w:val="18"/>
        </w:rPr>
      </w:pPr>
      <w:r w:rsidRPr="004D0115">
        <w:rPr>
          <w:rStyle w:val="FootnoteReference"/>
          <w:rFonts w:ascii="Verdana" w:hAnsi="Verdana"/>
          <w:sz w:val="18"/>
          <w:szCs w:val="18"/>
        </w:rPr>
        <w:footnoteRef/>
      </w:r>
      <w:r w:rsidRPr="004D0115">
        <w:rPr>
          <w:rFonts w:ascii="Verdana" w:hAnsi="Verdana"/>
          <w:sz w:val="18"/>
          <w:szCs w:val="18"/>
        </w:rPr>
        <w:t xml:space="preserve"> http://www.brainpoolproject.eu/the-way-forward/</w:t>
      </w:r>
    </w:p>
  </w:footnote>
  <w:footnote w:id="46">
    <w:p w14:paraId="62719DE6" w14:textId="77777777" w:rsidR="00B82186" w:rsidRDefault="00B82186">
      <w:pPr>
        <w:pStyle w:val="FootnoteText"/>
      </w:pPr>
      <w:r w:rsidRPr="004D0115">
        <w:rPr>
          <w:rFonts w:ascii="Verdana" w:hAnsi="Verdana"/>
          <w:sz w:val="18"/>
          <w:szCs w:val="18"/>
          <w:vertAlign w:val="superscript"/>
        </w:rPr>
        <w:footnoteRef/>
      </w:r>
      <w:r w:rsidRPr="004D0115">
        <w:rPr>
          <w:rFonts w:ascii="Verdana" w:hAnsi="Verdana"/>
          <w:sz w:val="18"/>
          <w:szCs w:val="18"/>
        </w:rPr>
        <w:t xml:space="preserve"> taken from the Stage 2 application from LINK to Friends Provident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C3302D" w14:textId="77777777" w:rsidR="00A44B9C" w:rsidRDefault="00A44B9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0A878B" w14:textId="72AD2BFF" w:rsidR="00B82186" w:rsidRDefault="00B82186">
    <w:pPr>
      <w:pStyle w:val="Header"/>
      <w:tabs>
        <w:tab w:val="clear" w:pos="8640"/>
        <w:tab w:val="right" w:pos="8280"/>
      </w:tabs>
    </w:pPr>
    <w:r>
      <w:rPr>
        <w:noProof/>
      </w:rPr>
      <mc:AlternateContent>
        <mc:Choice Requires="wps">
          <w:drawing>
            <wp:anchor distT="0" distB="0" distL="114300" distR="114300" simplePos="0" relativeHeight="251659264" behindDoc="0" locked="0" layoutInCell="1" allowOverlap="1" wp14:anchorId="4C894FA8" wp14:editId="5722DCB6">
              <wp:simplePos x="0" y="0"/>
              <wp:positionH relativeFrom="column">
                <wp:posOffset>1714500</wp:posOffset>
              </wp:positionH>
              <wp:positionV relativeFrom="paragraph">
                <wp:posOffset>-72390</wp:posOffset>
              </wp:positionV>
              <wp:extent cx="1714500" cy="46164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714500" cy="461645"/>
                      </a:xfrm>
                      <a:prstGeom prst="rect">
                        <a:avLst/>
                      </a:prstGeom>
                      <a:noFill/>
                      <a:ln>
                        <a:noFill/>
                      </a:ln>
                      <a:effectLst/>
                      <a:extLst>
                        <a:ext uri="{C572A759-6A51-4108-AA02-DFA0A04FC94B}">
                          <ma14:wrappingTextBoxFlag xmlns:ma14="http://schemas.microsoft.com/office/mac/drawingml/2011/main"/>
                        </a:ext>
                      </a:extLst>
                    </wps:spPr>
                    <wps:txbx>
                      <w:txbxContent>
                        <w:p w14:paraId="7D4A0BBB" w14:textId="77777777" w:rsidR="00B82186" w:rsidRPr="00CB5F3A" w:rsidRDefault="00B82186" w:rsidP="00B82186">
                          <w:pPr>
                            <w:rPr>
                              <w:rFonts w:ascii="Verdana" w:hAnsi="Verdana"/>
                              <w:sz w:val="16"/>
                              <w:szCs w:val="16"/>
                            </w:rPr>
                          </w:pPr>
                          <w:r w:rsidRPr="00CB5F3A">
                            <w:rPr>
                              <w:rFonts w:ascii="Verdana" w:hAnsi="Verdana"/>
                              <w:sz w:val="16"/>
                              <w:szCs w:val="16"/>
                            </w:rPr>
                            <w:t>Scottish Environment LINK</w:t>
                          </w:r>
                        </w:p>
                        <w:p w14:paraId="1CB10F54" w14:textId="77777777" w:rsidR="00B82186" w:rsidRPr="00CB5F3A" w:rsidRDefault="00B82186" w:rsidP="00B82186">
                          <w:pPr>
                            <w:rPr>
                              <w:rFonts w:ascii="Verdana" w:hAnsi="Verdana"/>
                              <w:sz w:val="16"/>
                              <w:szCs w:val="16"/>
                            </w:rPr>
                          </w:pPr>
                          <w:r w:rsidRPr="00CB5F3A">
                            <w:rPr>
                              <w:rFonts w:ascii="Verdana" w:hAnsi="Verdana"/>
                              <w:sz w:val="16"/>
                              <w:szCs w:val="16"/>
                            </w:rPr>
                            <w:t>Flourishing Scotland Project</w:t>
                          </w:r>
                        </w:p>
                        <w:p w14:paraId="4FA5CFDF" w14:textId="3209B481" w:rsidR="00B82186" w:rsidRPr="00CB5F3A" w:rsidRDefault="00B82186" w:rsidP="00B82186">
                          <w:pPr>
                            <w:rPr>
                              <w:rFonts w:ascii="Verdana" w:hAnsi="Verdana"/>
                              <w:sz w:val="16"/>
                              <w:szCs w:val="16"/>
                            </w:rPr>
                          </w:pPr>
                          <w:r>
                            <w:rPr>
                              <w:rFonts w:ascii="Verdana" w:hAnsi="Verdana"/>
                              <w:sz w:val="16"/>
                              <w:szCs w:val="16"/>
                            </w:rPr>
                            <w:t>May</w:t>
                          </w:r>
                          <w:r w:rsidRPr="00CB5F3A">
                            <w:rPr>
                              <w:rFonts w:ascii="Verdana" w:hAnsi="Verdana"/>
                              <w:sz w:val="16"/>
                              <w:szCs w:val="16"/>
                            </w:rPr>
                            <w:t xml:space="preserve">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47" type="#_x0000_t202" style="position:absolute;margin-left:135pt;margin-top:-5.65pt;width:135pt;height:3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" filled="f" stroked="f">
              <v:textbox style="mso-fit-shape-to-text:t">
                <w:txbxContent>
                  <w:p w14:paraId="7D4A0BBB" w14:textId="77777777" w:rsidR="00B82186" w:rsidRPr="00CB5F3A" w:rsidRDefault="00B82186" w:rsidP="00B82186">
                    <w:pPr>
                      <w:rPr>
                        <w:rFonts w:ascii="Verdana" w:hAnsi="Verdana"/>
                        <w:sz w:val="16"/>
                        <w:szCs w:val="16"/>
                      </w:rPr>
                    </w:pPr>
                    <w:r w:rsidRPr="00CB5F3A">
                      <w:rPr>
                        <w:rFonts w:ascii="Verdana" w:hAnsi="Verdana"/>
                        <w:sz w:val="16"/>
                        <w:szCs w:val="16"/>
                      </w:rPr>
                      <w:t>Scottish Environment LINK</w:t>
                    </w:r>
                  </w:p>
                  <w:p w14:paraId="1CB10F54" w14:textId="77777777" w:rsidR="00B82186" w:rsidRPr="00CB5F3A" w:rsidRDefault="00B82186" w:rsidP="00B82186">
                    <w:pPr>
                      <w:rPr>
                        <w:rFonts w:ascii="Verdana" w:hAnsi="Verdana"/>
                        <w:sz w:val="16"/>
                        <w:szCs w:val="16"/>
                      </w:rPr>
                    </w:pPr>
                    <w:r w:rsidRPr="00CB5F3A">
                      <w:rPr>
                        <w:rFonts w:ascii="Verdana" w:hAnsi="Verdana"/>
                        <w:sz w:val="16"/>
                        <w:szCs w:val="16"/>
                      </w:rPr>
                      <w:t>Flourishing Scotland Project</w:t>
                    </w:r>
                  </w:p>
                  <w:p w14:paraId="4FA5CFDF" w14:textId="3209B481" w:rsidR="00B82186" w:rsidRPr="00CB5F3A" w:rsidRDefault="00B82186" w:rsidP="00B82186">
                    <w:pPr>
                      <w:rPr>
                        <w:rFonts w:ascii="Verdana" w:hAnsi="Verdana"/>
                        <w:sz w:val="16"/>
                        <w:szCs w:val="16"/>
                      </w:rPr>
                    </w:pPr>
                    <w:r>
                      <w:rPr>
                        <w:rFonts w:ascii="Verdana" w:hAnsi="Verdana"/>
                        <w:sz w:val="16"/>
                        <w:szCs w:val="16"/>
                      </w:rPr>
                      <w:t>May</w:t>
                    </w:r>
                    <w:r w:rsidRPr="00CB5F3A">
                      <w:rPr>
                        <w:rFonts w:ascii="Verdana" w:hAnsi="Verdana"/>
                        <w:sz w:val="16"/>
                        <w:szCs w:val="16"/>
                      </w:rPr>
                      <w:t xml:space="preserve"> 2014</w:t>
                    </w:r>
                  </w:p>
                </w:txbxContent>
              </v:textbox>
              <w10:wrap type="square"/>
            </v:shape>
          </w:pict>
        </mc:Fallback>
      </mc:AlternateContent>
    </w:r>
    <w:r>
      <w:rPr>
        <w:rFonts w:ascii="Times New Roman"/>
      </w:rPr>
      <w:tab/>
    </w:r>
    <w:r>
      <w:rPr>
        <w:rFonts w:ascii="Times New Roman"/>
      </w:rPr>
      <w:tab/>
    </w:r>
    <w:r>
      <w:rPr>
        <w:noProof/>
      </w:rPr>
      <w:drawing>
        <wp:inline distT="0" distB="0" distL="0" distR="0" wp14:anchorId="04E6BB4B" wp14:editId="22ABEDCF">
          <wp:extent cx="1715135" cy="443139"/>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5135" cy="443139"/>
                  </a:xfrm>
                  <a:prstGeom prst="rect">
                    <a:avLst/>
                  </a:prstGeom>
                  <a:noFill/>
                  <a:ln>
                    <a:noFill/>
                  </a:ln>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BCF9C9" w14:textId="77777777" w:rsidR="00A44B9C" w:rsidRDefault="00A44B9C">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6FFA0" w14:textId="77777777" w:rsidR="00B82186" w:rsidRDefault="00B82186">
    <w:pPr>
      <w:pStyle w:val="Header"/>
      <w:tabs>
        <w:tab w:val="clear" w:pos="8640"/>
        <w:tab w:val="right" w:pos="8280"/>
      </w:tabs>
    </w:pPr>
    <w:r>
      <w:rPr>
        <w:rFonts w:ascii="Times New Roman"/>
      </w:rPr>
      <w:tab/>
    </w:r>
    <w:r>
      <w:rPr>
        <w:rFonts w:ascii="Times New Roman"/>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95EAE"/>
    <w:multiLevelType w:val="multilevel"/>
    <w:tmpl w:val="F73EB9AE"/>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
    <w:nsid w:val="031C76C2"/>
    <w:multiLevelType w:val="multilevel"/>
    <w:tmpl w:val="6FF47136"/>
    <w:styleLink w:val="List21"/>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
    <w:nsid w:val="0DEC5903"/>
    <w:multiLevelType w:val="multilevel"/>
    <w:tmpl w:val="24648D7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
    <w:nsid w:val="119E074B"/>
    <w:multiLevelType w:val="multilevel"/>
    <w:tmpl w:val="0540CCE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
    <w:nsid w:val="159539C1"/>
    <w:multiLevelType w:val="multilevel"/>
    <w:tmpl w:val="DC58C2D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5">
    <w:nsid w:val="1A486D08"/>
    <w:multiLevelType w:val="multilevel"/>
    <w:tmpl w:val="2BB4EAA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1F1405EA"/>
    <w:multiLevelType w:val="multilevel"/>
    <w:tmpl w:val="39E6786C"/>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7">
    <w:nsid w:val="21D0718F"/>
    <w:multiLevelType w:val="multilevel"/>
    <w:tmpl w:val="7B68DE32"/>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8">
    <w:nsid w:val="23B22FAA"/>
    <w:multiLevelType w:val="multilevel"/>
    <w:tmpl w:val="73CE1D42"/>
    <w:styleLink w:val="List31"/>
    <w:lvl w:ilvl="0">
      <w:numFmt w:val="bullet"/>
      <w:lvlText w:val="•"/>
      <w:lvlJc w:val="left"/>
      <w:pPr>
        <w:tabs>
          <w:tab w:val="num" w:pos="180"/>
        </w:tabs>
        <w:ind w:left="180" w:hanging="180"/>
      </w:pPr>
      <w:rPr>
        <w:rFonts w:ascii="Times New Roman" w:eastAsia="Times New Roman" w:hAnsi="Times New Roman" w:cs="Times New Roman"/>
        <w:color w:val="000000"/>
        <w:position w:val="0"/>
        <w:sz w:val="22"/>
        <w:szCs w:val="22"/>
      </w:rPr>
    </w:lvl>
    <w:lvl w:ilvl="1">
      <w:start w:val="1"/>
      <w:numFmt w:val="bullet"/>
      <w:lvlText w:val="•"/>
      <w:lvlJc w:val="left"/>
      <w:pPr>
        <w:tabs>
          <w:tab w:val="num" w:pos="360"/>
        </w:tabs>
        <w:ind w:left="360" w:hanging="180"/>
      </w:pPr>
      <w:rPr>
        <w:rFonts w:ascii="Cambria" w:eastAsia="Cambria" w:hAnsi="Cambria" w:cs="Cambria"/>
        <w:color w:val="000000"/>
        <w:position w:val="0"/>
        <w:sz w:val="24"/>
        <w:szCs w:val="24"/>
      </w:rPr>
    </w:lvl>
    <w:lvl w:ilvl="2">
      <w:start w:val="1"/>
      <w:numFmt w:val="bullet"/>
      <w:lvlText w:val="•"/>
      <w:lvlJc w:val="left"/>
      <w:pPr>
        <w:tabs>
          <w:tab w:val="num" w:pos="540"/>
        </w:tabs>
        <w:ind w:left="540" w:hanging="180"/>
      </w:pPr>
      <w:rPr>
        <w:rFonts w:ascii="Cambria" w:eastAsia="Cambria" w:hAnsi="Cambria" w:cs="Cambria"/>
        <w:color w:val="000000"/>
        <w:position w:val="0"/>
        <w:sz w:val="24"/>
        <w:szCs w:val="24"/>
      </w:rPr>
    </w:lvl>
    <w:lvl w:ilvl="3">
      <w:start w:val="1"/>
      <w:numFmt w:val="bullet"/>
      <w:lvlText w:val="•"/>
      <w:lvlJc w:val="left"/>
      <w:pPr>
        <w:tabs>
          <w:tab w:val="num" w:pos="720"/>
        </w:tabs>
        <w:ind w:left="720" w:hanging="180"/>
      </w:pPr>
      <w:rPr>
        <w:rFonts w:ascii="Cambria" w:eastAsia="Cambria" w:hAnsi="Cambria" w:cs="Cambria"/>
        <w:color w:val="000000"/>
        <w:position w:val="0"/>
        <w:sz w:val="24"/>
        <w:szCs w:val="24"/>
      </w:rPr>
    </w:lvl>
    <w:lvl w:ilvl="4">
      <w:start w:val="1"/>
      <w:numFmt w:val="bullet"/>
      <w:lvlText w:val="•"/>
      <w:lvlJc w:val="left"/>
      <w:pPr>
        <w:tabs>
          <w:tab w:val="num" w:pos="900"/>
        </w:tabs>
        <w:ind w:left="900" w:hanging="180"/>
      </w:pPr>
      <w:rPr>
        <w:rFonts w:ascii="Cambria" w:eastAsia="Cambria" w:hAnsi="Cambria" w:cs="Cambria"/>
        <w:color w:val="000000"/>
        <w:position w:val="0"/>
        <w:sz w:val="24"/>
        <w:szCs w:val="24"/>
      </w:rPr>
    </w:lvl>
    <w:lvl w:ilvl="5">
      <w:start w:val="1"/>
      <w:numFmt w:val="bullet"/>
      <w:lvlText w:val="•"/>
      <w:lvlJc w:val="left"/>
      <w:pPr>
        <w:tabs>
          <w:tab w:val="num" w:pos="1080"/>
        </w:tabs>
        <w:ind w:left="1080" w:hanging="180"/>
      </w:pPr>
      <w:rPr>
        <w:rFonts w:ascii="Cambria" w:eastAsia="Cambria" w:hAnsi="Cambria" w:cs="Cambria"/>
        <w:color w:val="000000"/>
        <w:position w:val="0"/>
        <w:sz w:val="24"/>
        <w:szCs w:val="24"/>
      </w:rPr>
    </w:lvl>
    <w:lvl w:ilvl="6">
      <w:start w:val="1"/>
      <w:numFmt w:val="bullet"/>
      <w:lvlText w:val="•"/>
      <w:lvlJc w:val="left"/>
      <w:pPr>
        <w:tabs>
          <w:tab w:val="num" w:pos="1260"/>
        </w:tabs>
        <w:ind w:left="1260" w:hanging="180"/>
      </w:pPr>
      <w:rPr>
        <w:rFonts w:ascii="Cambria" w:eastAsia="Cambria" w:hAnsi="Cambria" w:cs="Cambria"/>
        <w:color w:val="000000"/>
        <w:position w:val="0"/>
        <w:sz w:val="24"/>
        <w:szCs w:val="24"/>
      </w:rPr>
    </w:lvl>
    <w:lvl w:ilvl="7">
      <w:start w:val="1"/>
      <w:numFmt w:val="bullet"/>
      <w:lvlText w:val="•"/>
      <w:lvlJc w:val="left"/>
      <w:pPr>
        <w:tabs>
          <w:tab w:val="num" w:pos="1440"/>
        </w:tabs>
        <w:ind w:left="1440" w:hanging="180"/>
      </w:pPr>
      <w:rPr>
        <w:rFonts w:ascii="Cambria" w:eastAsia="Cambria" w:hAnsi="Cambria" w:cs="Cambria"/>
        <w:color w:val="000000"/>
        <w:position w:val="0"/>
        <w:sz w:val="24"/>
        <w:szCs w:val="24"/>
      </w:rPr>
    </w:lvl>
    <w:lvl w:ilvl="8">
      <w:start w:val="1"/>
      <w:numFmt w:val="bullet"/>
      <w:lvlText w:val="•"/>
      <w:lvlJc w:val="left"/>
      <w:pPr>
        <w:tabs>
          <w:tab w:val="num" w:pos="1620"/>
        </w:tabs>
        <w:ind w:left="1620" w:hanging="180"/>
      </w:pPr>
      <w:rPr>
        <w:rFonts w:ascii="Cambria" w:eastAsia="Cambria" w:hAnsi="Cambria" w:cs="Cambria"/>
        <w:color w:val="000000"/>
        <w:position w:val="0"/>
        <w:sz w:val="24"/>
        <w:szCs w:val="24"/>
      </w:rPr>
    </w:lvl>
  </w:abstractNum>
  <w:abstractNum w:abstractNumId="9">
    <w:nsid w:val="299D1D34"/>
    <w:multiLevelType w:val="multilevel"/>
    <w:tmpl w:val="2222F48C"/>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0">
    <w:nsid w:val="2B1C14EC"/>
    <w:multiLevelType w:val="multilevel"/>
    <w:tmpl w:val="BD701FEA"/>
    <w:lvl w:ilvl="0">
      <w:numFmt w:val="bullet"/>
      <w:lvlText w:val="•"/>
      <w:lvlJc w:val="left"/>
      <w:pPr>
        <w:tabs>
          <w:tab w:val="num" w:pos="180"/>
        </w:tabs>
        <w:ind w:left="180" w:hanging="180"/>
      </w:pPr>
      <w:rPr>
        <w:rFonts w:ascii="Times New Roman" w:eastAsia="Times New Roman" w:hAnsi="Times New Roman" w:cs="Times New Roman"/>
        <w:color w:val="000000"/>
        <w:position w:val="0"/>
        <w:sz w:val="22"/>
        <w:szCs w:val="22"/>
      </w:rPr>
    </w:lvl>
    <w:lvl w:ilvl="1">
      <w:start w:val="1"/>
      <w:numFmt w:val="bullet"/>
      <w:lvlText w:val="•"/>
      <w:lvlJc w:val="left"/>
      <w:pPr>
        <w:tabs>
          <w:tab w:val="num" w:pos="360"/>
        </w:tabs>
        <w:ind w:left="360" w:hanging="180"/>
      </w:pPr>
      <w:rPr>
        <w:rFonts w:ascii="Cambria" w:eastAsia="Cambria" w:hAnsi="Cambria" w:cs="Cambria"/>
        <w:color w:val="000000"/>
        <w:position w:val="0"/>
        <w:sz w:val="24"/>
        <w:szCs w:val="24"/>
      </w:rPr>
    </w:lvl>
    <w:lvl w:ilvl="2">
      <w:start w:val="1"/>
      <w:numFmt w:val="bullet"/>
      <w:lvlText w:val="•"/>
      <w:lvlJc w:val="left"/>
      <w:pPr>
        <w:tabs>
          <w:tab w:val="num" w:pos="540"/>
        </w:tabs>
        <w:ind w:left="540" w:hanging="180"/>
      </w:pPr>
      <w:rPr>
        <w:rFonts w:ascii="Cambria" w:eastAsia="Cambria" w:hAnsi="Cambria" w:cs="Cambria"/>
        <w:color w:val="000000"/>
        <w:position w:val="0"/>
        <w:sz w:val="24"/>
        <w:szCs w:val="24"/>
      </w:rPr>
    </w:lvl>
    <w:lvl w:ilvl="3">
      <w:start w:val="1"/>
      <w:numFmt w:val="bullet"/>
      <w:lvlText w:val="•"/>
      <w:lvlJc w:val="left"/>
      <w:pPr>
        <w:tabs>
          <w:tab w:val="num" w:pos="720"/>
        </w:tabs>
        <w:ind w:left="720" w:hanging="180"/>
      </w:pPr>
      <w:rPr>
        <w:rFonts w:ascii="Cambria" w:eastAsia="Cambria" w:hAnsi="Cambria" w:cs="Cambria"/>
        <w:color w:val="000000"/>
        <w:position w:val="0"/>
        <w:sz w:val="24"/>
        <w:szCs w:val="24"/>
      </w:rPr>
    </w:lvl>
    <w:lvl w:ilvl="4">
      <w:start w:val="1"/>
      <w:numFmt w:val="bullet"/>
      <w:lvlText w:val="•"/>
      <w:lvlJc w:val="left"/>
      <w:pPr>
        <w:tabs>
          <w:tab w:val="num" w:pos="900"/>
        </w:tabs>
        <w:ind w:left="900" w:hanging="180"/>
      </w:pPr>
      <w:rPr>
        <w:rFonts w:ascii="Cambria" w:eastAsia="Cambria" w:hAnsi="Cambria" w:cs="Cambria"/>
        <w:color w:val="000000"/>
        <w:position w:val="0"/>
        <w:sz w:val="24"/>
        <w:szCs w:val="24"/>
      </w:rPr>
    </w:lvl>
    <w:lvl w:ilvl="5">
      <w:start w:val="1"/>
      <w:numFmt w:val="bullet"/>
      <w:lvlText w:val="•"/>
      <w:lvlJc w:val="left"/>
      <w:pPr>
        <w:tabs>
          <w:tab w:val="num" w:pos="1080"/>
        </w:tabs>
        <w:ind w:left="1080" w:hanging="180"/>
      </w:pPr>
      <w:rPr>
        <w:rFonts w:ascii="Cambria" w:eastAsia="Cambria" w:hAnsi="Cambria" w:cs="Cambria"/>
        <w:color w:val="000000"/>
        <w:position w:val="0"/>
        <w:sz w:val="24"/>
        <w:szCs w:val="24"/>
      </w:rPr>
    </w:lvl>
    <w:lvl w:ilvl="6">
      <w:start w:val="1"/>
      <w:numFmt w:val="bullet"/>
      <w:lvlText w:val="•"/>
      <w:lvlJc w:val="left"/>
      <w:pPr>
        <w:tabs>
          <w:tab w:val="num" w:pos="1260"/>
        </w:tabs>
        <w:ind w:left="1260" w:hanging="180"/>
      </w:pPr>
      <w:rPr>
        <w:rFonts w:ascii="Cambria" w:eastAsia="Cambria" w:hAnsi="Cambria" w:cs="Cambria"/>
        <w:color w:val="000000"/>
        <w:position w:val="0"/>
        <w:sz w:val="24"/>
        <w:szCs w:val="24"/>
      </w:rPr>
    </w:lvl>
    <w:lvl w:ilvl="7">
      <w:start w:val="1"/>
      <w:numFmt w:val="bullet"/>
      <w:lvlText w:val="•"/>
      <w:lvlJc w:val="left"/>
      <w:pPr>
        <w:tabs>
          <w:tab w:val="num" w:pos="1440"/>
        </w:tabs>
        <w:ind w:left="1440" w:hanging="180"/>
      </w:pPr>
      <w:rPr>
        <w:rFonts w:ascii="Cambria" w:eastAsia="Cambria" w:hAnsi="Cambria" w:cs="Cambria"/>
        <w:color w:val="000000"/>
        <w:position w:val="0"/>
        <w:sz w:val="24"/>
        <w:szCs w:val="24"/>
      </w:rPr>
    </w:lvl>
    <w:lvl w:ilvl="8">
      <w:start w:val="1"/>
      <w:numFmt w:val="bullet"/>
      <w:lvlText w:val="•"/>
      <w:lvlJc w:val="left"/>
      <w:pPr>
        <w:tabs>
          <w:tab w:val="num" w:pos="1620"/>
        </w:tabs>
        <w:ind w:left="1620" w:hanging="180"/>
      </w:pPr>
      <w:rPr>
        <w:rFonts w:ascii="Cambria" w:eastAsia="Cambria" w:hAnsi="Cambria" w:cs="Cambria"/>
        <w:color w:val="000000"/>
        <w:position w:val="0"/>
        <w:sz w:val="24"/>
        <w:szCs w:val="24"/>
      </w:rPr>
    </w:lvl>
  </w:abstractNum>
  <w:abstractNum w:abstractNumId="11">
    <w:nsid w:val="2CDB03B4"/>
    <w:multiLevelType w:val="multilevel"/>
    <w:tmpl w:val="75E8A48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nsid w:val="2CE0428F"/>
    <w:multiLevelType w:val="multilevel"/>
    <w:tmpl w:val="31B433CE"/>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3">
    <w:nsid w:val="2EFF3935"/>
    <w:multiLevelType w:val="multilevel"/>
    <w:tmpl w:val="E0D4D212"/>
    <w:lvl w:ilvl="0">
      <w:numFmt w:val="bullet"/>
      <w:lvlText w:val="•"/>
      <w:lvlJc w:val="left"/>
      <w:pPr>
        <w:tabs>
          <w:tab w:val="num" w:pos="180"/>
        </w:tabs>
        <w:ind w:left="180" w:hanging="180"/>
      </w:pPr>
      <w:rPr>
        <w:rFonts w:ascii="Times New Roman" w:eastAsia="Times New Roman" w:hAnsi="Times New Roman" w:cs="Times New Roman"/>
        <w:color w:val="000000"/>
        <w:position w:val="0"/>
        <w:sz w:val="22"/>
        <w:szCs w:val="22"/>
      </w:rPr>
    </w:lvl>
    <w:lvl w:ilvl="1">
      <w:start w:val="1"/>
      <w:numFmt w:val="bullet"/>
      <w:lvlText w:val="•"/>
      <w:lvlJc w:val="left"/>
      <w:pPr>
        <w:tabs>
          <w:tab w:val="num" w:pos="360"/>
        </w:tabs>
        <w:ind w:left="360" w:hanging="180"/>
      </w:pPr>
      <w:rPr>
        <w:rFonts w:ascii="Cambria" w:eastAsia="Cambria" w:hAnsi="Cambria" w:cs="Cambria"/>
        <w:color w:val="000000"/>
        <w:position w:val="0"/>
        <w:sz w:val="24"/>
        <w:szCs w:val="24"/>
      </w:rPr>
    </w:lvl>
    <w:lvl w:ilvl="2">
      <w:start w:val="1"/>
      <w:numFmt w:val="bullet"/>
      <w:lvlText w:val="•"/>
      <w:lvlJc w:val="left"/>
      <w:pPr>
        <w:tabs>
          <w:tab w:val="num" w:pos="540"/>
        </w:tabs>
        <w:ind w:left="540" w:hanging="180"/>
      </w:pPr>
      <w:rPr>
        <w:rFonts w:ascii="Cambria" w:eastAsia="Cambria" w:hAnsi="Cambria" w:cs="Cambria"/>
        <w:color w:val="000000"/>
        <w:position w:val="0"/>
        <w:sz w:val="24"/>
        <w:szCs w:val="24"/>
      </w:rPr>
    </w:lvl>
    <w:lvl w:ilvl="3">
      <w:start w:val="1"/>
      <w:numFmt w:val="bullet"/>
      <w:lvlText w:val="•"/>
      <w:lvlJc w:val="left"/>
      <w:pPr>
        <w:tabs>
          <w:tab w:val="num" w:pos="720"/>
        </w:tabs>
        <w:ind w:left="720" w:hanging="180"/>
      </w:pPr>
      <w:rPr>
        <w:rFonts w:ascii="Cambria" w:eastAsia="Cambria" w:hAnsi="Cambria" w:cs="Cambria"/>
        <w:color w:val="000000"/>
        <w:position w:val="0"/>
        <w:sz w:val="24"/>
        <w:szCs w:val="24"/>
      </w:rPr>
    </w:lvl>
    <w:lvl w:ilvl="4">
      <w:start w:val="1"/>
      <w:numFmt w:val="bullet"/>
      <w:lvlText w:val="•"/>
      <w:lvlJc w:val="left"/>
      <w:pPr>
        <w:tabs>
          <w:tab w:val="num" w:pos="900"/>
        </w:tabs>
        <w:ind w:left="900" w:hanging="180"/>
      </w:pPr>
      <w:rPr>
        <w:rFonts w:ascii="Cambria" w:eastAsia="Cambria" w:hAnsi="Cambria" w:cs="Cambria"/>
        <w:color w:val="000000"/>
        <w:position w:val="0"/>
        <w:sz w:val="24"/>
        <w:szCs w:val="24"/>
      </w:rPr>
    </w:lvl>
    <w:lvl w:ilvl="5">
      <w:start w:val="1"/>
      <w:numFmt w:val="bullet"/>
      <w:lvlText w:val="•"/>
      <w:lvlJc w:val="left"/>
      <w:pPr>
        <w:tabs>
          <w:tab w:val="num" w:pos="1080"/>
        </w:tabs>
        <w:ind w:left="1080" w:hanging="180"/>
      </w:pPr>
      <w:rPr>
        <w:rFonts w:ascii="Cambria" w:eastAsia="Cambria" w:hAnsi="Cambria" w:cs="Cambria"/>
        <w:color w:val="000000"/>
        <w:position w:val="0"/>
        <w:sz w:val="24"/>
        <w:szCs w:val="24"/>
      </w:rPr>
    </w:lvl>
    <w:lvl w:ilvl="6">
      <w:start w:val="1"/>
      <w:numFmt w:val="bullet"/>
      <w:lvlText w:val="•"/>
      <w:lvlJc w:val="left"/>
      <w:pPr>
        <w:tabs>
          <w:tab w:val="num" w:pos="1260"/>
        </w:tabs>
        <w:ind w:left="1260" w:hanging="180"/>
      </w:pPr>
      <w:rPr>
        <w:rFonts w:ascii="Cambria" w:eastAsia="Cambria" w:hAnsi="Cambria" w:cs="Cambria"/>
        <w:color w:val="000000"/>
        <w:position w:val="0"/>
        <w:sz w:val="24"/>
        <w:szCs w:val="24"/>
      </w:rPr>
    </w:lvl>
    <w:lvl w:ilvl="7">
      <w:start w:val="1"/>
      <w:numFmt w:val="bullet"/>
      <w:lvlText w:val="•"/>
      <w:lvlJc w:val="left"/>
      <w:pPr>
        <w:tabs>
          <w:tab w:val="num" w:pos="1440"/>
        </w:tabs>
        <w:ind w:left="1440" w:hanging="180"/>
      </w:pPr>
      <w:rPr>
        <w:rFonts w:ascii="Cambria" w:eastAsia="Cambria" w:hAnsi="Cambria" w:cs="Cambria"/>
        <w:color w:val="000000"/>
        <w:position w:val="0"/>
        <w:sz w:val="24"/>
        <w:szCs w:val="24"/>
      </w:rPr>
    </w:lvl>
    <w:lvl w:ilvl="8">
      <w:start w:val="1"/>
      <w:numFmt w:val="bullet"/>
      <w:lvlText w:val="•"/>
      <w:lvlJc w:val="left"/>
      <w:pPr>
        <w:tabs>
          <w:tab w:val="num" w:pos="1620"/>
        </w:tabs>
        <w:ind w:left="1620" w:hanging="180"/>
      </w:pPr>
      <w:rPr>
        <w:rFonts w:ascii="Cambria" w:eastAsia="Cambria" w:hAnsi="Cambria" w:cs="Cambria"/>
        <w:color w:val="000000"/>
        <w:position w:val="0"/>
        <w:sz w:val="24"/>
        <w:szCs w:val="24"/>
      </w:rPr>
    </w:lvl>
  </w:abstractNum>
  <w:abstractNum w:abstractNumId="14">
    <w:nsid w:val="361E63F9"/>
    <w:multiLevelType w:val="multilevel"/>
    <w:tmpl w:val="3EE6829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5">
    <w:nsid w:val="3C7C1FB1"/>
    <w:multiLevelType w:val="multilevel"/>
    <w:tmpl w:val="039CDF20"/>
    <w:styleLink w:val="List6"/>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6">
    <w:nsid w:val="3F0F74BF"/>
    <w:multiLevelType w:val="hybridMultilevel"/>
    <w:tmpl w:val="1DB4E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6765044"/>
    <w:multiLevelType w:val="multilevel"/>
    <w:tmpl w:val="E9643650"/>
    <w:styleLink w:val="List7"/>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8">
    <w:nsid w:val="4BC57E7C"/>
    <w:multiLevelType w:val="multilevel"/>
    <w:tmpl w:val="64FA53D6"/>
    <w:styleLink w:val="List8"/>
    <w:lvl w:ilvl="0">
      <w:start w:val="1"/>
      <w:numFmt w:val="decimal"/>
      <w:lvlText w:val="%1."/>
      <w:lvlJc w:val="left"/>
      <w:pPr>
        <w:tabs>
          <w:tab w:val="num" w:pos="720"/>
        </w:tabs>
        <w:ind w:left="720" w:hanging="36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440"/>
        </w:tabs>
        <w:ind w:left="1440" w:hanging="360"/>
      </w:pPr>
      <w:rPr>
        <w:rFonts w:ascii="Cambria" w:eastAsia="Cambria" w:hAnsi="Cambria" w:cs="Cambria"/>
        <w:position w:val="0"/>
        <w:sz w:val="24"/>
        <w:szCs w:val="24"/>
      </w:rPr>
    </w:lvl>
    <w:lvl w:ilvl="2">
      <w:start w:val="1"/>
      <w:numFmt w:val="lowerRoman"/>
      <w:lvlText w:val="%3."/>
      <w:lvlJc w:val="left"/>
      <w:pPr>
        <w:tabs>
          <w:tab w:val="num" w:pos="2160"/>
        </w:tabs>
        <w:ind w:left="2160" w:hanging="296"/>
      </w:pPr>
      <w:rPr>
        <w:rFonts w:ascii="Cambria" w:eastAsia="Cambria" w:hAnsi="Cambria" w:cs="Cambria"/>
        <w:position w:val="0"/>
        <w:sz w:val="24"/>
        <w:szCs w:val="24"/>
      </w:rPr>
    </w:lvl>
    <w:lvl w:ilvl="3">
      <w:start w:val="1"/>
      <w:numFmt w:val="decimal"/>
      <w:lvlText w:val="%4."/>
      <w:lvlJc w:val="left"/>
      <w:pPr>
        <w:tabs>
          <w:tab w:val="num" w:pos="2880"/>
        </w:tabs>
        <w:ind w:left="2880" w:hanging="360"/>
      </w:pPr>
      <w:rPr>
        <w:rFonts w:ascii="Cambria" w:eastAsia="Cambria" w:hAnsi="Cambria" w:cs="Cambria"/>
        <w:position w:val="0"/>
        <w:sz w:val="24"/>
        <w:szCs w:val="24"/>
      </w:rPr>
    </w:lvl>
    <w:lvl w:ilvl="4">
      <w:start w:val="1"/>
      <w:numFmt w:val="lowerLetter"/>
      <w:lvlText w:val="%5."/>
      <w:lvlJc w:val="left"/>
      <w:pPr>
        <w:tabs>
          <w:tab w:val="num" w:pos="3600"/>
        </w:tabs>
        <w:ind w:left="3600" w:hanging="360"/>
      </w:pPr>
      <w:rPr>
        <w:rFonts w:ascii="Cambria" w:eastAsia="Cambria" w:hAnsi="Cambria" w:cs="Cambria"/>
        <w:position w:val="0"/>
        <w:sz w:val="24"/>
        <w:szCs w:val="24"/>
      </w:rPr>
    </w:lvl>
    <w:lvl w:ilvl="5">
      <w:start w:val="1"/>
      <w:numFmt w:val="lowerRoman"/>
      <w:lvlText w:val="%6."/>
      <w:lvlJc w:val="left"/>
      <w:pPr>
        <w:tabs>
          <w:tab w:val="num" w:pos="4320"/>
        </w:tabs>
        <w:ind w:left="4320" w:hanging="296"/>
      </w:pPr>
      <w:rPr>
        <w:rFonts w:ascii="Cambria" w:eastAsia="Cambria" w:hAnsi="Cambria" w:cs="Cambria"/>
        <w:position w:val="0"/>
        <w:sz w:val="24"/>
        <w:szCs w:val="24"/>
      </w:rPr>
    </w:lvl>
    <w:lvl w:ilvl="6">
      <w:start w:val="1"/>
      <w:numFmt w:val="decimal"/>
      <w:lvlText w:val="%7."/>
      <w:lvlJc w:val="left"/>
      <w:pPr>
        <w:tabs>
          <w:tab w:val="num" w:pos="5040"/>
        </w:tabs>
        <w:ind w:left="5040" w:hanging="360"/>
      </w:pPr>
      <w:rPr>
        <w:rFonts w:ascii="Cambria" w:eastAsia="Cambria" w:hAnsi="Cambria" w:cs="Cambria"/>
        <w:position w:val="0"/>
        <w:sz w:val="24"/>
        <w:szCs w:val="24"/>
      </w:rPr>
    </w:lvl>
    <w:lvl w:ilvl="7">
      <w:start w:val="1"/>
      <w:numFmt w:val="lowerLetter"/>
      <w:lvlText w:val="%8."/>
      <w:lvlJc w:val="left"/>
      <w:pPr>
        <w:tabs>
          <w:tab w:val="num" w:pos="5760"/>
        </w:tabs>
        <w:ind w:left="5760" w:hanging="360"/>
      </w:pPr>
      <w:rPr>
        <w:rFonts w:ascii="Cambria" w:eastAsia="Cambria" w:hAnsi="Cambria" w:cs="Cambria"/>
        <w:position w:val="0"/>
        <w:sz w:val="24"/>
        <w:szCs w:val="24"/>
      </w:rPr>
    </w:lvl>
    <w:lvl w:ilvl="8">
      <w:start w:val="1"/>
      <w:numFmt w:val="lowerRoman"/>
      <w:lvlText w:val="%9."/>
      <w:lvlJc w:val="left"/>
      <w:pPr>
        <w:tabs>
          <w:tab w:val="num" w:pos="6480"/>
        </w:tabs>
        <w:ind w:left="6480" w:hanging="296"/>
      </w:pPr>
      <w:rPr>
        <w:rFonts w:ascii="Cambria" w:eastAsia="Cambria" w:hAnsi="Cambria" w:cs="Cambria"/>
        <w:position w:val="0"/>
        <w:sz w:val="24"/>
        <w:szCs w:val="24"/>
      </w:rPr>
    </w:lvl>
  </w:abstractNum>
  <w:abstractNum w:abstractNumId="19">
    <w:nsid w:val="52F553FF"/>
    <w:multiLevelType w:val="multilevel"/>
    <w:tmpl w:val="494A178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0">
    <w:nsid w:val="542301B0"/>
    <w:multiLevelType w:val="multilevel"/>
    <w:tmpl w:val="FA24BEFE"/>
    <w:styleLink w:val="List5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1">
    <w:nsid w:val="5518419D"/>
    <w:multiLevelType w:val="multilevel"/>
    <w:tmpl w:val="D7882986"/>
    <w:lvl w:ilvl="0">
      <w:numFmt w:val="bullet"/>
      <w:lvlText w:val="•"/>
      <w:lvlJc w:val="left"/>
      <w:pPr>
        <w:tabs>
          <w:tab w:val="num" w:pos="180"/>
        </w:tabs>
        <w:ind w:left="180" w:hanging="180"/>
      </w:pPr>
      <w:rPr>
        <w:rFonts w:ascii="Times New Roman" w:eastAsia="Times New Roman" w:hAnsi="Times New Roman" w:cs="Times New Roman"/>
        <w:color w:val="000000"/>
        <w:position w:val="0"/>
        <w:sz w:val="22"/>
        <w:szCs w:val="22"/>
      </w:rPr>
    </w:lvl>
    <w:lvl w:ilvl="1">
      <w:start w:val="1"/>
      <w:numFmt w:val="bullet"/>
      <w:lvlText w:val="•"/>
      <w:lvlJc w:val="left"/>
      <w:pPr>
        <w:tabs>
          <w:tab w:val="num" w:pos="360"/>
        </w:tabs>
        <w:ind w:left="360" w:hanging="180"/>
      </w:pPr>
      <w:rPr>
        <w:rFonts w:ascii="Cambria" w:eastAsia="Cambria" w:hAnsi="Cambria" w:cs="Cambria"/>
        <w:color w:val="000000"/>
        <w:position w:val="0"/>
        <w:sz w:val="24"/>
        <w:szCs w:val="24"/>
      </w:rPr>
    </w:lvl>
    <w:lvl w:ilvl="2">
      <w:start w:val="1"/>
      <w:numFmt w:val="bullet"/>
      <w:lvlText w:val="•"/>
      <w:lvlJc w:val="left"/>
      <w:pPr>
        <w:tabs>
          <w:tab w:val="num" w:pos="540"/>
        </w:tabs>
        <w:ind w:left="540" w:hanging="180"/>
      </w:pPr>
      <w:rPr>
        <w:rFonts w:ascii="Cambria" w:eastAsia="Cambria" w:hAnsi="Cambria" w:cs="Cambria"/>
        <w:color w:val="000000"/>
        <w:position w:val="0"/>
        <w:sz w:val="24"/>
        <w:szCs w:val="24"/>
      </w:rPr>
    </w:lvl>
    <w:lvl w:ilvl="3">
      <w:start w:val="1"/>
      <w:numFmt w:val="bullet"/>
      <w:lvlText w:val="•"/>
      <w:lvlJc w:val="left"/>
      <w:pPr>
        <w:tabs>
          <w:tab w:val="num" w:pos="720"/>
        </w:tabs>
        <w:ind w:left="720" w:hanging="180"/>
      </w:pPr>
      <w:rPr>
        <w:rFonts w:ascii="Cambria" w:eastAsia="Cambria" w:hAnsi="Cambria" w:cs="Cambria"/>
        <w:color w:val="000000"/>
        <w:position w:val="0"/>
        <w:sz w:val="24"/>
        <w:szCs w:val="24"/>
      </w:rPr>
    </w:lvl>
    <w:lvl w:ilvl="4">
      <w:start w:val="1"/>
      <w:numFmt w:val="bullet"/>
      <w:lvlText w:val="•"/>
      <w:lvlJc w:val="left"/>
      <w:pPr>
        <w:tabs>
          <w:tab w:val="num" w:pos="900"/>
        </w:tabs>
        <w:ind w:left="900" w:hanging="180"/>
      </w:pPr>
      <w:rPr>
        <w:rFonts w:ascii="Cambria" w:eastAsia="Cambria" w:hAnsi="Cambria" w:cs="Cambria"/>
        <w:color w:val="000000"/>
        <w:position w:val="0"/>
        <w:sz w:val="24"/>
        <w:szCs w:val="24"/>
      </w:rPr>
    </w:lvl>
    <w:lvl w:ilvl="5">
      <w:start w:val="1"/>
      <w:numFmt w:val="bullet"/>
      <w:lvlText w:val="•"/>
      <w:lvlJc w:val="left"/>
      <w:pPr>
        <w:tabs>
          <w:tab w:val="num" w:pos="1080"/>
        </w:tabs>
        <w:ind w:left="1080" w:hanging="180"/>
      </w:pPr>
      <w:rPr>
        <w:rFonts w:ascii="Cambria" w:eastAsia="Cambria" w:hAnsi="Cambria" w:cs="Cambria"/>
        <w:color w:val="000000"/>
        <w:position w:val="0"/>
        <w:sz w:val="24"/>
        <w:szCs w:val="24"/>
      </w:rPr>
    </w:lvl>
    <w:lvl w:ilvl="6">
      <w:start w:val="1"/>
      <w:numFmt w:val="bullet"/>
      <w:lvlText w:val="•"/>
      <w:lvlJc w:val="left"/>
      <w:pPr>
        <w:tabs>
          <w:tab w:val="num" w:pos="1260"/>
        </w:tabs>
        <w:ind w:left="1260" w:hanging="180"/>
      </w:pPr>
      <w:rPr>
        <w:rFonts w:ascii="Cambria" w:eastAsia="Cambria" w:hAnsi="Cambria" w:cs="Cambria"/>
        <w:color w:val="000000"/>
        <w:position w:val="0"/>
        <w:sz w:val="24"/>
        <w:szCs w:val="24"/>
      </w:rPr>
    </w:lvl>
    <w:lvl w:ilvl="7">
      <w:start w:val="1"/>
      <w:numFmt w:val="bullet"/>
      <w:lvlText w:val="•"/>
      <w:lvlJc w:val="left"/>
      <w:pPr>
        <w:tabs>
          <w:tab w:val="num" w:pos="1440"/>
        </w:tabs>
        <w:ind w:left="1440" w:hanging="180"/>
      </w:pPr>
      <w:rPr>
        <w:rFonts w:ascii="Cambria" w:eastAsia="Cambria" w:hAnsi="Cambria" w:cs="Cambria"/>
        <w:color w:val="000000"/>
        <w:position w:val="0"/>
        <w:sz w:val="24"/>
        <w:szCs w:val="24"/>
      </w:rPr>
    </w:lvl>
    <w:lvl w:ilvl="8">
      <w:start w:val="1"/>
      <w:numFmt w:val="bullet"/>
      <w:lvlText w:val="•"/>
      <w:lvlJc w:val="left"/>
      <w:pPr>
        <w:tabs>
          <w:tab w:val="num" w:pos="1620"/>
        </w:tabs>
        <w:ind w:left="1620" w:hanging="180"/>
      </w:pPr>
      <w:rPr>
        <w:rFonts w:ascii="Cambria" w:eastAsia="Cambria" w:hAnsi="Cambria" w:cs="Cambria"/>
        <w:color w:val="000000"/>
        <w:position w:val="0"/>
        <w:sz w:val="24"/>
        <w:szCs w:val="24"/>
      </w:rPr>
    </w:lvl>
  </w:abstractNum>
  <w:abstractNum w:abstractNumId="22">
    <w:nsid w:val="5A077B4A"/>
    <w:multiLevelType w:val="multilevel"/>
    <w:tmpl w:val="2730D76C"/>
    <w:styleLink w:val="List0"/>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3">
    <w:nsid w:val="5A1D5090"/>
    <w:multiLevelType w:val="multilevel"/>
    <w:tmpl w:val="BE44A8DE"/>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4">
    <w:nsid w:val="61042B11"/>
    <w:multiLevelType w:val="multilevel"/>
    <w:tmpl w:val="EB98AF36"/>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5">
    <w:nsid w:val="6914776F"/>
    <w:multiLevelType w:val="multilevel"/>
    <w:tmpl w:val="60B2EE8E"/>
    <w:lvl w:ilvl="0">
      <w:numFmt w:val="bullet"/>
      <w:lvlText w:val="•"/>
      <w:lvlJc w:val="left"/>
      <w:pPr>
        <w:tabs>
          <w:tab w:val="num" w:pos="180"/>
        </w:tabs>
        <w:ind w:left="180" w:hanging="180"/>
      </w:pPr>
      <w:rPr>
        <w:rFonts w:ascii="Times New Roman" w:eastAsia="Times New Roman" w:hAnsi="Times New Roman" w:cs="Times New Roman"/>
        <w:color w:val="000000"/>
        <w:position w:val="0"/>
        <w:sz w:val="22"/>
        <w:szCs w:val="22"/>
      </w:rPr>
    </w:lvl>
    <w:lvl w:ilvl="1">
      <w:start w:val="1"/>
      <w:numFmt w:val="bullet"/>
      <w:lvlText w:val="•"/>
      <w:lvlJc w:val="left"/>
      <w:pPr>
        <w:tabs>
          <w:tab w:val="num" w:pos="360"/>
        </w:tabs>
        <w:ind w:left="360" w:hanging="180"/>
      </w:pPr>
      <w:rPr>
        <w:rFonts w:ascii="Cambria" w:eastAsia="Cambria" w:hAnsi="Cambria" w:cs="Cambria"/>
        <w:color w:val="000000"/>
        <w:position w:val="0"/>
        <w:sz w:val="24"/>
        <w:szCs w:val="24"/>
      </w:rPr>
    </w:lvl>
    <w:lvl w:ilvl="2">
      <w:start w:val="1"/>
      <w:numFmt w:val="bullet"/>
      <w:lvlText w:val="•"/>
      <w:lvlJc w:val="left"/>
      <w:pPr>
        <w:tabs>
          <w:tab w:val="num" w:pos="540"/>
        </w:tabs>
        <w:ind w:left="540" w:hanging="180"/>
      </w:pPr>
      <w:rPr>
        <w:rFonts w:ascii="Cambria" w:eastAsia="Cambria" w:hAnsi="Cambria" w:cs="Cambria"/>
        <w:color w:val="000000"/>
        <w:position w:val="0"/>
        <w:sz w:val="24"/>
        <w:szCs w:val="24"/>
      </w:rPr>
    </w:lvl>
    <w:lvl w:ilvl="3">
      <w:start w:val="1"/>
      <w:numFmt w:val="bullet"/>
      <w:lvlText w:val="•"/>
      <w:lvlJc w:val="left"/>
      <w:pPr>
        <w:tabs>
          <w:tab w:val="num" w:pos="720"/>
        </w:tabs>
        <w:ind w:left="720" w:hanging="180"/>
      </w:pPr>
      <w:rPr>
        <w:rFonts w:ascii="Cambria" w:eastAsia="Cambria" w:hAnsi="Cambria" w:cs="Cambria"/>
        <w:color w:val="000000"/>
        <w:position w:val="0"/>
        <w:sz w:val="24"/>
        <w:szCs w:val="24"/>
      </w:rPr>
    </w:lvl>
    <w:lvl w:ilvl="4">
      <w:start w:val="1"/>
      <w:numFmt w:val="bullet"/>
      <w:lvlText w:val="•"/>
      <w:lvlJc w:val="left"/>
      <w:pPr>
        <w:tabs>
          <w:tab w:val="num" w:pos="900"/>
        </w:tabs>
        <w:ind w:left="900" w:hanging="180"/>
      </w:pPr>
      <w:rPr>
        <w:rFonts w:ascii="Cambria" w:eastAsia="Cambria" w:hAnsi="Cambria" w:cs="Cambria"/>
        <w:color w:val="000000"/>
        <w:position w:val="0"/>
        <w:sz w:val="24"/>
        <w:szCs w:val="24"/>
      </w:rPr>
    </w:lvl>
    <w:lvl w:ilvl="5">
      <w:start w:val="1"/>
      <w:numFmt w:val="bullet"/>
      <w:lvlText w:val="•"/>
      <w:lvlJc w:val="left"/>
      <w:pPr>
        <w:tabs>
          <w:tab w:val="num" w:pos="1080"/>
        </w:tabs>
        <w:ind w:left="1080" w:hanging="180"/>
      </w:pPr>
      <w:rPr>
        <w:rFonts w:ascii="Cambria" w:eastAsia="Cambria" w:hAnsi="Cambria" w:cs="Cambria"/>
        <w:color w:val="000000"/>
        <w:position w:val="0"/>
        <w:sz w:val="24"/>
        <w:szCs w:val="24"/>
      </w:rPr>
    </w:lvl>
    <w:lvl w:ilvl="6">
      <w:start w:val="1"/>
      <w:numFmt w:val="bullet"/>
      <w:lvlText w:val="•"/>
      <w:lvlJc w:val="left"/>
      <w:pPr>
        <w:tabs>
          <w:tab w:val="num" w:pos="1260"/>
        </w:tabs>
        <w:ind w:left="1260" w:hanging="180"/>
      </w:pPr>
      <w:rPr>
        <w:rFonts w:ascii="Cambria" w:eastAsia="Cambria" w:hAnsi="Cambria" w:cs="Cambria"/>
        <w:color w:val="000000"/>
        <w:position w:val="0"/>
        <w:sz w:val="24"/>
        <w:szCs w:val="24"/>
      </w:rPr>
    </w:lvl>
    <w:lvl w:ilvl="7">
      <w:start w:val="1"/>
      <w:numFmt w:val="bullet"/>
      <w:lvlText w:val="•"/>
      <w:lvlJc w:val="left"/>
      <w:pPr>
        <w:tabs>
          <w:tab w:val="num" w:pos="1440"/>
        </w:tabs>
        <w:ind w:left="1440" w:hanging="180"/>
      </w:pPr>
      <w:rPr>
        <w:rFonts w:ascii="Cambria" w:eastAsia="Cambria" w:hAnsi="Cambria" w:cs="Cambria"/>
        <w:color w:val="000000"/>
        <w:position w:val="0"/>
        <w:sz w:val="24"/>
        <w:szCs w:val="24"/>
      </w:rPr>
    </w:lvl>
    <w:lvl w:ilvl="8">
      <w:start w:val="1"/>
      <w:numFmt w:val="bullet"/>
      <w:lvlText w:val="•"/>
      <w:lvlJc w:val="left"/>
      <w:pPr>
        <w:tabs>
          <w:tab w:val="num" w:pos="1620"/>
        </w:tabs>
        <w:ind w:left="1620" w:hanging="180"/>
      </w:pPr>
      <w:rPr>
        <w:rFonts w:ascii="Cambria" w:eastAsia="Cambria" w:hAnsi="Cambria" w:cs="Cambria"/>
        <w:color w:val="000000"/>
        <w:position w:val="0"/>
        <w:sz w:val="24"/>
        <w:szCs w:val="24"/>
      </w:rPr>
    </w:lvl>
  </w:abstractNum>
  <w:abstractNum w:abstractNumId="26">
    <w:nsid w:val="6BB958BE"/>
    <w:multiLevelType w:val="multilevel"/>
    <w:tmpl w:val="832A6944"/>
    <w:styleLink w:val="List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7">
    <w:nsid w:val="6BBE15AE"/>
    <w:multiLevelType w:val="multilevel"/>
    <w:tmpl w:val="B83C4A9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8">
    <w:nsid w:val="6EA622E9"/>
    <w:multiLevelType w:val="multilevel"/>
    <w:tmpl w:val="0ABE8FBC"/>
    <w:styleLink w:val="List9"/>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9">
    <w:nsid w:val="6EF1569C"/>
    <w:multiLevelType w:val="multilevel"/>
    <w:tmpl w:val="C0B67DE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0">
    <w:nsid w:val="73F83AA3"/>
    <w:multiLevelType w:val="multilevel"/>
    <w:tmpl w:val="595CA9F4"/>
    <w:styleLink w:val="List41"/>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31">
    <w:nsid w:val="75CC69B3"/>
    <w:multiLevelType w:val="multilevel"/>
    <w:tmpl w:val="958A50F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2">
    <w:nsid w:val="76672F20"/>
    <w:multiLevelType w:val="multilevel"/>
    <w:tmpl w:val="11B842C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num w:numId="1">
    <w:abstractNumId w:val="22"/>
  </w:num>
  <w:num w:numId="2">
    <w:abstractNumId w:val="9"/>
  </w:num>
  <w:num w:numId="3">
    <w:abstractNumId w:val="12"/>
  </w:num>
  <w:num w:numId="4">
    <w:abstractNumId w:val="26"/>
  </w:num>
  <w:num w:numId="5">
    <w:abstractNumId w:val="1"/>
  </w:num>
  <w:num w:numId="6">
    <w:abstractNumId w:val="13"/>
  </w:num>
  <w:num w:numId="7">
    <w:abstractNumId w:val="21"/>
  </w:num>
  <w:num w:numId="8">
    <w:abstractNumId w:val="10"/>
  </w:num>
  <w:num w:numId="9">
    <w:abstractNumId w:val="25"/>
  </w:num>
  <w:num w:numId="10">
    <w:abstractNumId w:val="8"/>
  </w:num>
  <w:num w:numId="11">
    <w:abstractNumId w:val="30"/>
  </w:num>
  <w:num w:numId="12">
    <w:abstractNumId w:val="5"/>
  </w:num>
  <w:num w:numId="13">
    <w:abstractNumId w:val="23"/>
  </w:num>
  <w:num w:numId="14">
    <w:abstractNumId w:val="31"/>
  </w:num>
  <w:num w:numId="15">
    <w:abstractNumId w:val="20"/>
  </w:num>
  <w:num w:numId="16">
    <w:abstractNumId w:val="24"/>
  </w:num>
  <w:num w:numId="17">
    <w:abstractNumId w:val="11"/>
  </w:num>
  <w:num w:numId="18">
    <w:abstractNumId w:val="15"/>
  </w:num>
  <w:num w:numId="19">
    <w:abstractNumId w:val="6"/>
  </w:num>
  <w:num w:numId="20">
    <w:abstractNumId w:val="4"/>
  </w:num>
  <w:num w:numId="21">
    <w:abstractNumId w:val="14"/>
  </w:num>
  <w:num w:numId="22">
    <w:abstractNumId w:val="29"/>
  </w:num>
  <w:num w:numId="23">
    <w:abstractNumId w:val="17"/>
  </w:num>
  <w:num w:numId="24">
    <w:abstractNumId w:val="18"/>
  </w:num>
  <w:num w:numId="25">
    <w:abstractNumId w:val="19"/>
  </w:num>
  <w:num w:numId="26">
    <w:abstractNumId w:val="3"/>
  </w:num>
  <w:num w:numId="27">
    <w:abstractNumId w:val="32"/>
  </w:num>
  <w:num w:numId="28">
    <w:abstractNumId w:val="27"/>
  </w:num>
  <w:num w:numId="29">
    <w:abstractNumId w:val="2"/>
  </w:num>
  <w:num w:numId="30">
    <w:abstractNumId w:val="0"/>
  </w:num>
  <w:num w:numId="31">
    <w:abstractNumId w:val="28"/>
  </w:num>
  <w:num w:numId="32">
    <w:abstractNumId w:val="16"/>
  </w:num>
  <w:num w:numId="33">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45389F"/>
    <w:rsid w:val="00033DEB"/>
    <w:rsid w:val="00060D5C"/>
    <w:rsid w:val="000761D8"/>
    <w:rsid w:val="000A0ADE"/>
    <w:rsid w:val="000C5F4C"/>
    <w:rsid w:val="000D5B14"/>
    <w:rsid w:val="001136E8"/>
    <w:rsid w:val="00120876"/>
    <w:rsid w:val="0013351A"/>
    <w:rsid w:val="00153819"/>
    <w:rsid w:val="00165FB0"/>
    <w:rsid w:val="001A4BA3"/>
    <w:rsid w:val="001B5DEA"/>
    <w:rsid w:val="002A20A1"/>
    <w:rsid w:val="002B02FA"/>
    <w:rsid w:val="00335428"/>
    <w:rsid w:val="003442B7"/>
    <w:rsid w:val="00370ECE"/>
    <w:rsid w:val="003C3832"/>
    <w:rsid w:val="003D6A1E"/>
    <w:rsid w:val="003F64D4"/>
    <w:rsid w:val="004364C6"/>
    <w:rsid w:val="00437B0D"/>
    <w:rsid w:val="00453108"/>
    <w:rsid w:val="0045389F"/>
    <w:rsid w:val="004837F3"/>
    <w:rsid w:val="004B2631"/>
    <w:rsid w:val="004D0115"/>
    <w:rsid w:val="004D3329"/>
    <w:rsid w:val="00515760"/>
    <w:rsid w:val="0053578C"/>
    <w:rsid w:val="00551A09"/>
    <w:rsid w:val="0055526B"/>
    <w:rsid w:val="00561EA3"/>
    <w:rsid w:val="005731E8"/>
    <w:rsid w:val="005805B9"/>
    <w:rsid w:val="005C7907"/>
    <w:rsid w:val="005D0EC0"/>
    <w:rsid w:val="005F0B38"/>
    <w:rsid w:val="005F68DE"/>
    <w:rsid w:val="00632037"/>
    <w:rsid w:val="0065098A"/>
    <w:rsid w:val="00656C51"/>
    <w:rsid w:val="00674C5B"/>
    <w:rsid w:val="0068476A"/>
    <w:rsid w:val="006F3D38"/>
    <w:rsid w:val="0076178C"/>
    <w:rsid w:val="0077067E"/>
    <w:rsid w:val="007758C7"/>
    <w:rsid w:val="007A6CA8"/>
    <w:rsid w:val="007C74D8"/>
    <w:rsid w:val="007D554E"/>
    <w:rsid w:val="007E696B"/>
    <w:rsid w:val="00841E46"/>
    <w:rsid w:val="00860973"/>
    <w:rsid w:val="008614A5"/>
    <w:rsid w:val="008B4AAF"/>
    <w:rsid w:val="008D62D5"/>
    <w:rsid w:val="00914801"/>
    <w:rsid w:val="0093704C"/>
    <w:rsid w:val="00950E2A"/>
    <w:rsid w:val="009A0B70"/>
    <w:rsid w:val="009D3E6A"/>
    <w:rsid w:val="009E5D0F"/>
    <w:rsid w:val="00A151E1"/>
    <w:rsid w:val="00A208E2"/>
    <w:rsid w:val="00A37391"/>
    <w:rsid w:val="00A44B9C"/>
    <w:rsid w:val="00A533C0"/>
    <w:rsid w:val="00A80782"/>
    <w:rsid w:val="00A8116C"/>
    <w:rsid w:val="00A93C8A"/>
    <w:rsid w:val="00AA1D17"/>
    <w:rsid w:val="00AB4F16"/>
    <w:rsid w:val="00AD71EE"/>
    <w:rsid w:val="00AF03BC"/>
    <w:rsid w:val="00B065AB"/>
    <w:rsid w:val="00B82186"/>
    <w:rsid w:val="00BD1689"/>
    <w:rsid w:val="00BD1DFF"/>
    <w:rsid w:val="00BE3467"/>
    <w:rsid w:val="00C90437"/>
    <w:rsid w:val="00C91D29"/>
    <w:rsid w:val="00CB0CF0"/>
    <w:rsid w:val="00CB31F1"/>
    <w:rsid w:val="00CC67AF"/>
    <w:rsid w:val="00D44954"/>
    <w:rsid w:val="00DD191E"/>
    <w:rsid w:val="00DE6666"/>
    <w:rsid w:val="00E13D80"/>
    <w:rsid w:val="00E15D0C"/>
    <w:rsid w:val="00E37F83"/>
    <w:rsid w:val="00E40BC7"/>
    <w:rsid w:val="00E52612"/>
    <w:rsid w:val="00E63183"/>
    <w:rsid w:val="00E84ACE"/>
    <w:rsid w:val="00E97390"/>
    <w:rsid w:val="00EB4043"/>
    <w:rsid w:val="00EC5103"/>
    <w:rsid w:val="00EE1C7F"/>
    <w:rsid w:val="00F230F8"/>
    <w:rsid w:val="00F5073F"/>
    <w:rsid w:val="00F74DDB"/>
    <w:rsid w:val="00F74F6B"/>
    <w:rsid w:val="00FA1680"/>
    <w:rsid w:val="00FF03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09D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rPr>
  </w:style>
  <w:style w:type="paragraph" w:styleId="Footer">
    <w:name w:val="footer"/>
    <w:pPr>
      <w:tabs>
        <w:tab w:val="center" w:pos="4320"/>
        <w:tab w:val="right" w:pos="8640"/>
      </w:tabs>
    </w:pPr>
    <w:rPr>
      <w:rFonts w:ascii="Cambria" w:eastAsia="Cambria" w:hAnsi="Cambria" w:cs="Cambria"/>
      <w:color w:val="000000"/>
      <w:sz w:val="24"/>
      <w:szCs w:val="24"/>
      <w:u w:color="000000"/>
    </w:rPr>
  </w:style>
  <w:style w:type="paragraph" w:customStyle="1" w:styleId="Body">
    <w:name w:val="Body"/>
    <w:rPr>
      <w:rFonts w:ascii="Cambria" w:eastAsia="Cambria" w:hAnsi="Cambria" w:cs="Cambria"/>
      <w:color w:val="000000"/>
      <w:sz w:val="24"/>
      <w:szCs w:val="24"/>
      <w:u w:color="000000"/>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List0">
    <w:name w:val="List 0"/>
    <w:basedOn w:val="ImportedStyle1"/>
    <w:pPr>
      <w:numPr>
        <w:numId w:val="1"/>
      </w:numPr>
    </w:pPr>
  </w:style>
  <w:style w:type="numbering" w:customStyle="1" w:styleId="ImportedStyle1">
    <w:name w:val="Imported Style 1"/>
  </w:style>
  <w:style w:type="paragraph" w:styleId="FootnoteText">
    <w:name w:val="footnote text"/>
    <w:link w:val="FootnoteTextChar"/>
    <w:uiPriority w:val="99"/>
    <w:rPr>
      <w:rFonts w:ascii="Cambria" w:eastAsia="Cambria" w:hAnsi="Cambria" w:cs="Cambria"/>
      <w:color w:val="000000"/>
      <w:sz w:val="24"/>
      <w:szCs w:val="24"/>
      <w:u w:color="000000"/>
    </w:rPr>
  </w:style>
  <w:style w:type="character" w:customStyle="1" w:styleId="Link">
    <w:name w:val="Link"/>
    <w:rPr>
      <w:u w:val="single"/>
    </w:rPr>
  </w:style>
  <w:style w:type="character" w:customStyle="1" w:styleId="Hyperlink0">
    <w:name w:val="Hyperlink.0"/>
    <w:basedOn w:val="Link"/>
    <w:rPr>
      <w:sz w:val="20"/>
      <w:szCs w:val="20"/>
      <w:u w:val="single"/>
    </w:rPr>
  </w:style>
  <w:style w:type="paragraph" w:customStyle="1" w:styleId="Default">
    <w:name w:val="Default"/>
    <w:rPr>
      <w:rFonts w:ascii="Helvetica" w:eastAsia="Helvetica" w:hAnsi="Helvetica" w:cs="Helvetica"/>
      <w:color w:val="000000"/>
      <w:sz w:val="22"/>
      <w:szCs w:val="22"/>
    </w:rPr>
  </w:style>
  <w:style w:type="numbering" w:customStyle="1" w:styleId="List1">
    <w:name w:val="List 1"/>
    <w:basedOn w:val="ImportedStyle2"/>
    <w:pPr>
      <w:numPr>
        <w:numId w:val="4"/>
      </w:numPr>
    </w:pPr>
  </w:style>
  <w:style w:type="numbering" w:customStyle="1" w:styleId="ImportedStyle2">
    <w:name w:val="Imported Style 2"/>
  </w:style>
  <w:style w:type="numbering" w:customStyle="1" w:styleId="List21">
    <w:name w:val="List 21"/>
    <w:basedOn w:val="ImportedStyle3"/>
    <w:pPr>
      <w:numPr>
        <w:numId w:val="5"/>
      </w:numPr>
    </w:pPr>
  </w:style>
  <w:style w:type="numbering" w:customStyle="1" w:styleId="ImportedStyle3">
    <w:name w:val="Imported Style 3"/>
  </w:style>
  <w:style w:type="paragraph" w:customStyle="1" w:styleId="BodyA">
    <w:name w:val="Body A"/>
    <w:rPr>
      <w:rFonts w:ascii="Helvetica" w:eastAsia="Helvetica" w:hAnsi="Helvetica" w:cs="Helvetica"/>
      <w:color w:val="000000"/>
      <w:sz w:val="22"/>
      <w:szCs w:val="22"/>
      <w:u w:color="000000"/>
    </w:rPr>
  </w:style>
  <w:style w:type="numbering" w:customStyle="1" w:styleId="List31">
    <w:name w:val="List 31"/>
    <w:basedOn w:val="ImportedStyle4"/>
    <w:pPr>
      <w:numPr>
        <w:numId w:val="10"/>
      </w:numPr>
    </w:pPr>
  </w:style>
  <w:style w:type="numbering" w:customStyle="1" w:styleId="ImportedStyle4">
    <w:name w:val="Imported Style 4"/>
  </w:style>
  <w:style w:type="numbering" w:customStyle="1" w:styleId="List41">
    <w:name w:val="List 41"/>
    <w:basedOn w:val="ImportedStyle5"/>
    <w:pPr>
      <w:numPr>
        <w:numId w:val="11"/>
      </w:numPr>
    </w:pPr>
  </w:style>
  <w:style w:type="numbering" w:customStyle="1" w:styleId="ImportedStyle5">
    <w:name w:val="Imported Style 5"/>
  </w:style>
  <w:style w:type="paragraph" w:styleId="NormalWeb">
    <w:name w:val="Normal (Web)"/>
    <w:pPr>
      <w:spacing w:before="100" w:after="100"/>
    </w:pPr>
    <w:rPr>
      <w:rFonts w:ascii="Times Roman" w:hAnsi="Arial Unicode MS" w:cs="Arial Unicode MS"/>
      <w:color w:val="000000"/>
      <w:u w:color="000000"/>
    </w:rPr>
  </w:style>
  <w:style w:type="numbering" w:customStyle="1" w:styleId="List51">
    <w:name w:val="List 51"/>
    <w:basedOn w:val="ImportedStyle6"/>
    <w:pPr>
      <w:numPr>
        <w:numId w:val="15"/>
      </w:numPr>
    </w:pPr>
  </w:style>
  <w:style w:type="numbering" w:customStyle="1" w:styleId="ImportedStyle6">
    <w:name w:val="Imported Style 6"/>
  </w:style>
  <w:style w:type="numbering" w:customStyle="1" w:styleId="List6">
    <w:name w:val="List 6"/>
    <w:basedOn w:val="ImportedStyle7"/>
    <w:pPr>
      <w:numPr>
        <w:numId w:val="18"/>
      </w:numPr>
    </w:pPr>
  </w:style>
  <w:style w:type="numbering" w:customStyle="1" w:styleId="ImportedStyle7">
    <w:name w:val="Imported Style 7"/>
  </w:style>
  <w:style w:type="numbering" w:customStyle="1" w:styleId="List7">
    <w:name w:val="List 7"/>
    <w:basedOn w:val="ImportedStyle8"/>
    <w:pPr>
      <w:numPr>
        <w:numId w:val="23"/>
      </w:numPr>
    </w:pPr>
  </w:style>
  <w:style w:type="numbering" w:customStyle="1" w:styleId="ImportedStyle8">
    <w:name w:val="Imported Style 8"/>
  </w:style>
  <w:style w:type="numbering" w:customStyle="1" w:styleId="List8">
    <w:name w:val="List 8"/>
    <w:basedOn w:val="ImportedStyle9"/>
    <w:pPr>
      <w:numPr>
        <w:numId w:val="24"/>
      </w:numPr>
    </w:pPr>
  </w:style>
  <w:style w:type="numbering" w:customStyle="1" w:styleId="ImportedStyle9">
    <w:name w:val="Imported Style 9"/>
  </w:style>
  <w:style w:type="numbering" w:customStyle="1" w:styleId="List9">
    <w:name w:val="List 9"/>
    <w:basedOn w:val="ImportedStyle10"/>
    <w:pPr>
      <w:numPr>
        <w:numId w:val="31"/>
      </w:numPr>
    </w:pPr>
  </w:style>
  <w:style w:type="numbering" w:customStyle="1" w:styleId="ImportedStyle10">
    <w:name w:val="Imported Style 10"/>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4F16"/>
    <w:rPr>
      <w:rFonts w:ascii="Lucida Grande" w:hAnsi="Lucida Grande"/>
      <w:sz w:val="18"/>
      <w:szCs w:val="18"/>
    </w:rPr>
  </w:style>
  <w:style w:type="character" w:customStyle="1" w:styleId="BalloonTextChar">
    <w:name w:val="Balloon Text Char"/>
    <w:basedOn w:val="DefaultParagraphFont"/>
    <w:link w:val="BalloonText"/>
    <w:uiPriority w:val="99"/>
    <w:semiHidden/>
    <w:rsid w:val="00AB4F16"/>
    <w:rPr>
      <w:rFonts w:ascii="Lucida Grande" w:hAnsi="Lucida Grande"/>
      <w:sz w:val="18"/>
      <w:szCs w:val="18"/>
    </w:rPr>
  </w:style>
  <w:style w:type="character" w:styleId="FootnoteReference">
    <w:name w:val="footnote reference"/>
    <w:basedOn w:val="DefaultParagraphFont"/>
    <w:uiPriority w:val="99"/>
    <w:unhideWhenUsed/>
    <w:rsid w:val="00E37F83"/>
    <w:rPr>
      <w:vertAlign w:val="superscript"/>
    </w:rPr>
  </w:style>
  <w:style w:type="character" w:customStyle="1" w:styleId="FootnoteTextChar">
    <w:name w:val="Footnote Text Char"/>
    <w:basedOn w:val="DefaultParagraphFont"/>
    <w:link w:val="FootnoteText"/>
    <w:uiPriority w:val="99"/>
    <w:rsid w:val="005F0B38"/>
    <w:rPr>
      <w:rFonts w:ascii="Cambria" w:eastAsia="Cambria" w:hAnsi="Cambria" w:cs="Cambria"/>
      <w:color w:val="000000"/>
      <w:sz w:val="24"/>
      <w:szCs w:val="24"/>
      <w:u w:color="000000"/>
    </w:rPr>
  </w:style>
  <w:style w:type="paragraph" w:styleId="CommentSubject">
    <w:name w:val="annotation subject"/>
    <w:basedOn w:val="CommentText"/>
    <w:next w:val="CommentText"/>
    <w:link w:val="CommentSubjectChar"/>
    <w:uiPriority w:val="99"/>
    <w:semiHidden/>
    <w:unhideWhenUsed/>
    <w:rsid w:val="00AF03BC"/>
    <w:rPr>
      <w:b/>
      <w:bCs/>
      <w:sz w:val="20"/>
      <w:szCs w:val="20"/>
    </w:rPr>
  </w:style>
  <w:style w:type="character" w:customStyle="1" w:styleId="CommentSubjectChar">
    <w:name w:val="Comment Subject Char"/>
    <w:basedOn w:val="CommentTextChar"/>
    <w:link w:val="CommentSubject"/>
    <w:uiPriority w:val="99"/>
    <w:semiHidden/>
    <w:rsid w:val="00AF03BC"/>
    <w:rPr>
      <w:b/>
      <w:bCs/>
      <w:sz w:val="24"/>
      <w:szCs w:val="24"/>
    </w:rPr>
  </w:style>
  <w:style w:type="character" w:styleId="PageNumber">
    <w:name w:val="page number"/>
    <w:basedOn w:val="DefaultParagraphFont"/>
    <w:uiPriority w:val="99"/>
    <w:semiHidden/>
    <w:unhideWhenUsed/>
    <w:rsid w:val="005731E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rPr>
  </w:style>
  <w:style w:type="paragraph" w:styleId="Footer">
    <w:name w:val="footer"/>
    <w:pPr>
      <w:tabs>
        <w:tab w:val="center" w:pos="4320"/>
        <w:tab w:val="right" w:pos="8640"/>
      </w:tabs>
    </w:pPr>
    <w:rPr>
      <w:rFonts w:ascii="Cambria" w:eastAsia="Cambria" w:hAnsi="Cambria" w:cs="Cambria"/>
      <w:color w:val="000000"/>
      <w:sz w:val="24"/>
      <w:szCs w:val="24"/>
      <w:u w:color="000000"/>
    </w:rPr>
  </w:style>
  <w:style w:type="paragraph" w:customStyle="1" w:styleId="Body">
    <w:name w:val="Body"/>
    <w:rPr>
      <w:rFonts w:ascii="Cambria" w:eastAsia="Cambria" w:hAnsi="Cambria" w:cs="Cambria"/>
      <w:color w:val="000000"/>
      <w:sz w:val="24"/>
      <w:szCs w:val="24"/>
      <w:u w:color="000000"/>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List0">
    <w:name w:val="List 0"/>
    <w:basedOn w:val="ImportedStyle1"/>
    <w:pPr>
      <w:numPr>
        <w:numId w:val="1"/>
      </w:numPr>
    </w:pPr>
  </w:style>
  <w:style w:type="numbering" w:customStyle="1" w:styleId="ImportedStyle1">
    <w:name w:val="Imported Style 1"/>
  </w:style>
  <w:style w:type="paragraph" w:styleId="FootnoteText">
    <w:name w:val="footnote text"/>
    <w:link w:val="FootnoteTextChar"/>
    <w:uiPriority w:val="99"/>
    <w:rPr>
      <w:rFonts w:ascii="Cambria" w:eastAsia="Cambria" w:hAnsi="Cambria" w:cs="Cambria"/>
      <w:color w:val="000000"/>
      <w:sz w:val="24"/>
      <w:szCs w:val="24"/>
      <w:u w:color="000000"/>
    </w:rPr>
  </w:style>
  <w:style w:type="character" w:customStyle="1" w:styleId="Link">
    <w:name w:val="Link"/>
    <w:rPr>
      <w:u w:val="single"/>
    </w:rPr>
  </w:style>
  <w:style w:type="character" w:customStyle="1" w:styleId="Hyperlink0">
    <w:name w:val="Hyperlink.0"/>
    <w:basedOn w:val="Link"/>
    <w:rPr>
      <w:sz w:val="20"/>
      <w:szCs w:val="20"/>
      <w:u w:val="single"/>
    </w:rPr>
  </w:style>
  <w:style w:type="paragraph" w:customStyle="1" w:styleId="Default">
    <w:name w:val="Default"/>
    <w:rPr>
      <w:rFonts w:ascii="Helvetica" w:eastAsia="Helvetica" w:hAnsi="Helvetica" w:cs="Helvetica"/>
      <w:color w:val="000000"/>
      <w:sz w:val="22"/>
      <w:szCs w:val="22"/>
    </w:rPr>
  </w:style>
  <w:style w:type="numbering" w:customStyle="1" w:styleId="List1">
    <w:name w:val="List 1"/>
    <w:basedOn w:val="ImportedStyle2"/>
    <w:pPr>
      <w:numPr>
        <w:numId w:val="4"/>
      </w:numPr>
    </w:pPr>
  </w:style>
  <w:style w:type="numbering" w:customStyle="1" w:styleId="ImportedStyle2">
    <w:name w:val="Imported Style 2"/>
  </w:style>
  <w:style w:type="numbering" w:customStyle="1" w:styleId="List21">
    <w:name w:val="List 21"/>
    <w:basedOn w:val="ImportedStyle3"/>
    <w:pPr>
      <w:numPr>
        <w:numId w:val="5"/>
      </w:numPr>
    </w:pPr>
  </w:style>
  <w:style w:type="numbering" w:customStyle="1" w:styleId="ImportedStyle3">
    <w:name w:val="Imported Style 3"/>
  </w:style>
  <w:style w:type="paragraph" w:customStyle="1" w:styleId="BodyA">
    <w:name w:val="Body A"/>
    <w:rPr>
      <w:rFonts w:ascii="Helvetica" w:eastAsia="Helvetica" w:hAnsi="Helvetica" w:cs="Helvetica"/>
      <w:color w:val="000000"/>
      <w:sz w:val="22"/>
      <w:szCs w:val="22"/>
      <w:u w:color="000000"/>
    </w:rPr>
  </w:style>
  <w:style w:type="numbering" w:customStyle="1" w:styleId="List31">
    <w:name w:val="List 31"/>
    <w:basedOn w:val="ImportedStyle4"/>
    <w:pPr>
      <w:numPr>
        <w:numId w:val="10"/>
      </w:numPr>
    </w:pPr>
  </w:style>
  <w:style w:type="numbering" w:customStyle="1" w:styleId="ImportedStyle4">
    <w:name w:val="Imported Style 4"/>
  </w:style>
  <w:style w:type="numbering" w:customStyle="1" w:styleId="List41">
    <w:name w:val="List 41"/>
    <w:basedOn w:val="ImportedStyle5"/>
    <w:pPr>
      <w:numPr>
        <w:numId w:val="11"/>
      </w:numPr>
    </w:pPr>
  </w:style>
  <w:style w:type="numbering" w:customStyle="1" w:styleId="ImportedStyle5">
    <w:name w:val="Imported Style 5"/>
  </w:style>
  <w:style w:type="paragraph" w:styleId="NormalWeb">
    <w:name w:val="Normal (Web)"/>
    <w:pPr>
      <w:spacing w:before="100" w:after="100"/>
    </w:pPr>
    <w:rPr>
      <w:rFonts w:ascii="Times Roman" w:hAnsi="Arial Unicode MS" w:cs="Arial Unicode MS"/>
      <w:color w:val="000000"/>
      <w:u w:color="000000"/>
    </w:rPr>
  </w:style>
  <w:style w:type="numbering" w:customStyle="1" w:styleId="List51">
    <w:name w:val="List 51"/>
    <w:basedOn w:val="ImportedStyle6"/>
    <w:pPr>
      <w:numPr>
        <w:numId w:val="15"/>
      </w:numPr>
    </w:pPr>
  </w:style>
  <w:style w:type="numbering" w:customStyle="1" w:styleId="ImportedStyle6">
    <w:name w:val="Imported Style 6"/>
  </w:style>
  <w:style w:type="numbering" w:customStyle="1" w:styleId="List6">
    <w:name w:val="List 6"/>
    <w:basedOn w:val="ImportedStyle7"/>
    <w:pPr>
      <w:numPr>
        <w:numId w:val="18"/>
      </w:numPr>
    </w:pPr>
  </w:style>
  <w:style w:type="numbering" w:customStyle="1" w:styleId="ImportedStyle7">
    <w:name w:val="Imported Style 7"/>
  </w:style>
  <w:style w:type="numbering" w:customStyle="1" w:styleId="List7">
    <w:name w:val="List 7"/>
    <w:basedOn w:val="ImportedStyle8"/>
    <w:pPr>
      <w:numPr>
        <w:numId w:val="23"/>
      </w:numPr>
    </w:pPr>
  </w:style>
  <w:style w:type="numbering" w:customStyle="1" w:styleId="ImportedStyle8">
    <w:name w:val="Imported Style 8"/>
  </w:style>
  <w:style w:type="numbering" w:customStyle="1" w:styleId="List8">
    <w:name w:val="List 8"/>
    <w:basedOn w:val="ImportedStyle9"/>
    <w:pPr>
      <w:numPr>
        <w:numId w:val="24"/>
      </w:numPr>
    </w:pPr>
  </w:style>
  <w:style w:type="numbering" w:customStyle="1" w:styleId="ImportedStyle9">
    <w:name w:val="Imported Style 9"/>
  </w:style>
  <w:style w:type="numbering" w:customStyle="1" w:styleId="List9">
    <w:name w:val="List 9"/>
    <w:basedOn w:val="ImportedStyle10"/>
    <w:pPr>
      <w:numPr>
        <w:numId w:val="31"/>
      </w:numPr>
    </w:pPr>
  </w:style>
  <w:style w:type="numbering" w:customStyle="1" w:styleId="ImportedStyle10">
    <w:name w:val="Imported Style 10"/>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4F16"/>
    <w:rPr>
      <w:rFonts w:ascii="Lucida Grande" w:hAnsi="Lucida Grande"/>
      <w:sz w:val="18"/>
      <w:szCs w:val="18"/>
    </w:rPr>
  </w:style>
  <w:style w:type="character" w:customStyle="1" w:styleId="BalloonTextChar">
    <w:name w:val="Balloon Text Char"/>
    <w:basedOn w:val="DefaultParagraphFont"/>
    <w:link w:val="BalloonText"/>
    <w:uiPriority w:val="99"/>
    <w:semiHidden/>
    <w:rsid w:val="00AB4F16"/>
    <w:rPr>
      <w:rFonts w:ascii="Lucida Grande" w:hAnsi="Lucida Grande"/>
      <w:sz w:val="18"/>
      <w:szCs w:val="18"/>
    </w:rPr>
  </w:style>
  <w:style w:type="character" w:styleId="FootnoteReference">
    <w:name w:val="footnote reference"/>
    <w:basedOn w:val="DefaultParagraphFont"/>
    <w:uiPriority w:val="99"/>
    <w:unhideWhenUsed/>
    <w:rsid w:val="00E37F83"/>
    <w:rPr>
      <w:vertAlign w:val="superscript"/>
    </w:rPr>
  </w:style>
  <w:style w:type="character" w:customStyle="1" w:styleId="FootnoteTextChar">
    <w:name w:val="Footnote Text Char"/>
    <w:basedOn w:val="DefaultParagraphFont"/>
    <w:link w:val="FootnoteText"/>
    <w:uiPriority w:val="99"/>
    <w:rsid w:val="005F0B38"/>
    <w:rPr>
      <w:rFonts w:ascii="Cambria" w:eastAsia="Cambria" w:hAnsi="Cambria" w:cs="Cambria"/>
      <w:color w:val="000000"/>
      <w:sz w:val="24"/>
      <w:szCs w:val="24"/>
      <w:u w:color="000000"/>
    </w:rPr>
  </w:style>
  <w:style w:type="paragraph" w:styleId="CommentSubject">
    <w:name w:val="annotation subject"/>
    <w:basedOn w:val="CommentText"/>
    <w:next w:val="CommentText"/>
    <w:link w:val="CommentSubjectChar"/>
    <w:uiPriority w:val="99"/>
    <w:semiHidden/>
    <w:unhideWhenUsed/>
    <w:rsid w:val="00AF03BC"/>
    <w:rPr>
      <w:b/>
      <w:bCs/>
      <w:sz w:val="20"/>
      <w:szCs w:val="20"/>
    </w:rPr>
  </w:style>
  <w:style w:type="character" w:customStyle="1" w:styleId="CommentSubjectChar">
    <w:name w:val="Comment Subject Char"/>
    <w:basedOn w:val="CommentTextChar"/>
    <w:link w:val="CommentSubject"/>
    <w:uiPriority w:val="99"/>
    <w:semiHidden/>
    <w:rsid w:val="00AF03BC"/>
    <w:rPr>
      <w:b/>
      <w:bCs/>
      <w:sz w:val="24"/>
      <w:szCs w:val="24"/>
    </w:rPr>
  </w:style>
  <w:style w:type="character" w:styleId="PageNumber">
    <w:name w:val="page number"/>
    <w:basedOn w:val="DefaultParagraphFont"/>
    <w:uiPriority w:val="99"/>
    <w:semiHidden/>
    <w:unhideWhenUsed/>
    <w:rsid w:val="00573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57755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eader" Target="header4.xml"/><Relationship Id="rId21" Type="http://schemas.openxmlformats.org/officeDocument/2006/relationships/footer" Target="footer4.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www.scotlink.org/files/policy/PositionPapers/LINKHelpingScotlandFlourish.pdf" TargetMode="External"/><Relationship Id="rId16" Type="http://schemas.openxmlformats.org/officeDocument/2006/relationships/image" Target="media/image2.tif"/><Relationship Id="rId17" Type="http://schemas.openxmlformats.org/officeDocument/2006/relationships/hyperlink" Target="http://www.differencebetween.net/business/difference-between-consumer-goods-and-industrial-goods/" TargetMode="External"/><Relationship Id="rId18" Type="http://schemas.openxmlformats.org/officeDocument/2006/relationships/image" Target="media/image3.png"/><Relationship Id="rId19" Type="http://schemas.openxmlformats.org/officeDocument/2006/relationships/image" Target="media/image4.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2.xml.rels><?xml version="1.0" encoding="UTF-8" standalone="yes"?>
<Relationships xmlns="http://schemas.openxmlformats.org/package/2006/relationships"><Relationship Id="rId1" Type="http://schemas.openxmlformats.org/officeDocument/2006/relationships/hyperlink" Target="mailto:phoebe@scotlink.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cotland.gov.uk/About/Performance/scotPerforms" TargetMode="External"/><Relationship Id="rId2" Type="http://schemas.openxmlformats.org/officeDocument/2006/relationships/hyperlink" Target="http://www.brainpoolproject.eu/indicators-and-initiativ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06DAF-3C0A-2749-BE25-22BAC4730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19</Pages>
  <Words>5677</Words>
  <Characters>32360</Characters>
  <Application>Microsoft Macintosh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Link</Company>
  <LinksUpToDate>false</LinksUpToDate>
  <CharactersWithSpaces>37962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Walsh</dc:creator>
  <cp:lastModifiedBy>Phoebe Cochrane</cp:lastModifiedBy>
  <cp:revision>10</cp:revision>
  <cp:lastPrinted>2014-09-10T09:03:00Z</cp:lastPrinted>
  <dcterms:created xsi:type="dcterms:W3CDTF">2014-09-04T09:25:00Z</dcterms:created>
  <dcterms:modified xsi:type="dcterms:W3CDTF">2014-09-12T08:50:00Z</dcterms:modified>
</cp:coreProperties>
</file>