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98E4" w14:textId="172B8C95" w:rsidR="00B93A0B" w:rsidRDefault="00636F83" w:rsidP="00636F83">
      <w:pPr>
        <w:spacing w:after="84" w:line="259" w:lineRule="auto"/>
        <w:ind w:left="0" w:firstLine="0"/>
        <w:jc w:val="right"/>
        <w:rPr>
          <w:b/>
          <w:sz w:val="36"/>
        </w:rPr>
      </w:pPr>
      <w:r>
        <w:rPr>
          <w:noProof/>
        </w:rPr>
        <w:drawing>
          <wp:inline distT="0" distB="0" distL="0" distR="0" wp14:anchorId="7CBCDF68" wp14:editId="6355A440">
            <wp:extent cx="2609093" cy="1005842"/>
            <wp:effectExtent l="0" t="0" r="1270" b="3810"/>
            <wp:docPr id="2" name="Picture 2"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093" cy="1005842"/>
                    </a:xfrm>
                    <a:prstGeom prst="rect">
                      <a:avLst/>
                    </a:prstGeom>
                  </pic:spPr>
                </pic:pic>
              </a:graphicData>
            </a:graphic>
          </wp:inline>
        </w:drawing>
      </w:r>
    </w:p>
    <w:p w14:paraId="5B7982C2" w14:textId="4A1F6B18" w:rsidR="0053613F" w:rsidRPr="00A466DE" w:rsidRDefault="009D6597" w:rsidP="00883C24">
      <w:pPr>
        <w:spacing w:after="84" w:line="259" w:lineRule="auto"/>
        <w:ind w:left="0" w:firstLine="0"/>
        <w:rPr>
          <w:rFonts w:asciiTheme="minorHAnsi" w:hAnsiTheme="minorHAnsi" w:cstheme="minorHAnsi"/>
        </w:rPr>
      </w:pPr>
      <w:r w:rsidRPr="00A466DE">
        <w:rPr>
          <w:rFonts w:asciiTheme="minorHAnsi" w:hAnsiTheme="minorHAnsi" w:cstheme="minorHAnsi"/>
          <w:b/>
          <w:sz w:val="36"/>
        </w:rPr>
        <w:t xml:space="preserve">Scottish Environment LINK                             </w:t>
      </w:r>
    </w:p>
    <w:p w14:paraId="5F9A2424" w14:textId="4341F1E1" w:rsidR="0053613F" w:rsidRPr="00A466DE" w:rsidRDefault="009D6597">
      <w:pPr>
        <w:spacing w:after="0" w:line="259" w:lineRule="auto"/>
        <w:ind w:left="-5"/>
        <w:rPr>
          <w:rFonts w:asciiTheme="minorHAnsi" w:hAnsiTheme="minorHAnsi" w:cstheme="minorHAnsi"/>
        </w:rPr>
      </w:pPr>
      <w:r w:rsidRPr="00A466DE">
        <w:rPr>
          <w:rFonts w:asciiTheme="minorHAnsi" w:hAnsiTheme="minorHAnsi" w:cstheme="minorHAnsi"/>
          <w:b/>
          <w:sz w:val="36"/>
        </w:rPr>
        <w:t xml:space="preserve">Carbon Management Report </w:t>
      </w:r>
      <w:r w:rsidR="009A0692">
        <w:rPr>
          <w:rFonts w:asciiTheme="minorHAnsi" w:hAnsiTheme="minorHAnsi" w:cstheme="minorHAnsi"/>
          <w:b/>
          <w:sz w:val="36"/>
        </w:rPr>
        <w:t>2021-22</w:t>
      </w:r>
      <w:r w:rsidRPr="00A466DE">
        <w:rPr>
          <w:rFonts w:asciiTheme="minorHAnsi" w:hAnsiTheme="minorHAnsi" w:cstheme="minorHAnsi"/>
          <w:b/>
          <w:sz w:val="36"/>
        </w:rPr>
        <w:t xml:space="preserve"> </w:t>
      </w:r>
    </w:p>
    <w:p w14:paraId="376966D9" w14:textId="77777777" w:rsidR="0053613F" w:rsidRPr="00A466DE" w:rsidRDefault="009D6597">
      <w:pPr>
        <w:spacing w:after="97" w:line="259" w:lineRule="auto"/>
        <w:ind w:left="0" w:firstLine="0"/>
        <w:rPr>
          <w:rFonts w:asciiTheme="minorHAnsi" w:hAnsiTheme="minorHAnsi" w:cstheme="minorHAnsi"/>
        </w:rPr>
      </w:pPr>
      <w:r w:rsidRPr="00A466DE">
        <w:rPr>
          <w:rFonts w:asciiTheme="minorHAnsi" w:hAnsiTheme="minorHAnsi" w:cstheme="minorHAnsi"/>
          <w:b/>
        </w:rPr>
        <w:t xml:space="preserve"> </w:t>
      </w:r>
    </w:p>
    <w:p w14:paraId="45F8A3C9" w14:textId="530E9447" w:rsidR="00182602" w:rsidRDefault="009D6597" w:rsidP="00D217F7">
      <w:pPr>
        <w:pStyle w:val="Heading1"/>
        <w:ind w:left="-5"/>
        <w:rPr>
          <w:rFonts w:asciiTheme="minorHAnsi" w:hAnsiTheme="minorHAnsi" w:cstheme="minorHAnsi"/>
        </w:rPr>
      </w:pPr>
      <w:r w:rsidRPr="00A466DE">
        <w:rPr>
          <w:rFonts w:asciiTheme="minorHAnsi" w:hAnsiTheme="minorHAnsi" w:cstheme="minorHAnsi"/>
        </w:rPr>
        <w:t xml:space="preserve">Management summary </w:t>
      </w:r>
    </w:p>
    <w:p w14:paraId="5775A404" w14:textId="77777777" w:rsidR="00D217F7" w:rsidRPr="00D217F7" w:rsidRDefault="00D217F7" w:rsidP="00D217F7"/>
    <w:p w14:paraId="0C2C7E14" w14:textId="7CB273D6" w:rsidR="00FE51E9" w:rsidRPr="00B7742C" w:rsidRDefault="009D6597" w:rsidP="00D217F7">
      <w:pPr>
        <w:spacing w:line="276" w:lineRule="auto"/>
        <w:ind w:left="-5"/>
        <w:rPr>
          <w:rFonts w:asciiTheme="minorHAnsi" w:hAnsiTheme="minorHAnsi" w:cstheme="minorHAnsi"/>
          <w:sz w:val="22"/>
        </w:rPr>
      </w:pPr>
      <w:r w:rsidRPr="00B7742C">
        <w:rPr>
          <w:rFonts w:asciiTheme="minorHAnsi" w:hAnsiTheme="minorHAnsi" w:cstheme="minorHAnsi"/>
          <w:sz w:val="22"/>
        </w:rPr>
        <w:t xml:space="preserve">This is the </w:t>
      </w:r>
      <w:commentRangeStart w:id="0"/>
      <w:r w:rsidR="009A5903" w:rsidRPr="00B7742C">
        <w:rPr>
          <w:rFonts w:asciiTheme="minorHAnsi" w:hAnsiTheme="minorHAnsi" w:cstheme="minorHAnsi"/>
          <w:sz w:val="22"/>
        </w:rPr>
        <w:t>t</w:t>
      </w:r>
      <w:r w:rsidR="009A0692" w:rsidRPr="00B7742C">
        <w:rPr>
          <w:rFonts w:asciiTheme="minorHAnsi" w:hAnsiTheme="minorHAnsi" w:cstheme="minorHAnsi"/>
          <w:sz w:val="22"/>
        </w:rPr>
        <w:t>hirteenth</w:t>
      </w:r>
      <w:commentRangeEnd w:id="0"/>
      <w:r w:rsidR="00832C84" w:rsidRPr="00B7742C">
        <w:rPr>
          <w:rStyle w:val="CommentReference"/>
          <w:sz w:val="22"/>
          <w:szCs w:val="22"/>
        </w:rPr>
        <w:commentReference w:id="0"/>
      </w:r>
      <w:r w:rsidR="00464684" w:rsidRPr="00B7742C">
        <w:rPr>
          <w:rFonts w:asciiTheme="minorHAnsi" w:hAnsiTheme="minorHAnsi" w:cstheme="minorHAnsi"/>
          <w:sz w:val="22"/>
        </w:rPr>
        <w:t xml:space="preserve"> </w:t>
      </w:r>
      <w:r w:rsidRPr="00B7742C">
        <w:rPr>
          <w:rFonts w:asciiTheme="minorHAnsi" w:hAnsiTheme="minorHAnsi" w:cstheme="minorHAnsi"/>
          <w:sz w:val="22"/>
        </w:rPr>
        <w:t xml:space="preserve">published Carbon Accounts report from LINK.  </w:t>
      </w:r>
      <w:r w:rsidR="000D3CE6" w:rsidRPr="00B7742C">
        <w:rPr>
          <w:rFonts w:asciiTheme="minorHAnsi" w:hAnsiTheme="minorHAnsi" w:cstheme="minorHAnsi"/>
          <w:sz w:val="22"/>
        </w:rPr>
        <w:t xml:space="preserve">Previous </w:t>
      </w:r>
      <w:r w:rsidR="00A639A7" w:rsidRPr="00B7742C">
        <w:rPr>
          <w:rFonts w:asciiTheme="minorHAnsi" w:hAnsiTheme="minorHAnsi" w:cstheme="minorHAnsi"/>
          <w:sz w:val="22"/>
        </w:rPr>
        <w:t xml:space="preserve">year’s reports can be found on our </w:t>
      </w:r>
      <w:hyperlink r:id="rId16" w:history="1">
        <w:r w:rsidR="00A639A7" w:rsidRPr="00B7742C">
          <w:rPr>
            <w:rStyle w:val="Hyperlink"/>
            <w:rFonts w:asciiTheme="minorHAnsi" w:hAnsiTheme="minorHAnsi" w:cstheme="minorHAnsi"/>
            <w:sz w:val="22"/>
          </w:rPr>
          <w:t>website</w:t>
        </w:r>
      </w:hyperlink>
      <w:r w:rsidR="00A639A7" w:rsidRPr="00B7742C">
        <w:rPr>
          <w:rFonts w:asciiTheme="minorHAnsi" w:hAnsiTheme="minorHAnsi" w:cstheme="minorHAnsi"/>
          <w:sz w:val="22"/>
        </w:rPr>
        <w:t xml:space="preserve">. Note that </w:t>
      </w:r>
      <w:r w:rsidR="00F867E7" w:rsidRPr="00B7742C">
        <w:rPr>
          <w:rFonts w:asciiTheme="minorHAnsi" w:hAnsiTheme="minorHAnsi" w:cstheme="minorHAnsi"/>
          <w:sz w:val="22"/>
        </w:rPr>
        <w:t xml:space="preserve">2013/14 data had not been gathered and is therefore omitted </w:t>
      </w:r>
      <w:r w:rsidR="00673F7E" w:rsidRPr="00B7742C">
        <w:rPr>
          <w:rFonts w:asciiTheme="minorHAnsi" w:hAnsiTheme="minorHAnsi" w:cstheme="minorHAnsi"/>
          <w:sz w:val="22"/>
        </w:rPr>
        <w:t>from the data sets</w:t>
      </w:r>
      <w:r w:rsidR="00F867E7" w:rsidRPr="00B7742C">
        <w:rPr>
          <w:rFonts w:asciiTheme="minorHAnsi" w:hAnsiTheme="minorHAnsi" w:cstheme="minorHAnsi"/>
          <w:sz w:val="22"/>
        </w:rPr>
        <w:t>.</w:t>
      </w:r>
    </w:p>
    <w:p w14:paraId="04959D4C" w14:textId="67023B67" w:rsidR="00182602" w:rsidRPr="00B7742C" w:rsidRDefault="00F30869" w:rsidP="00D217F7">
      <w:pPr>
        <w:spacing w:line="276" w:lineRule="auto"/>
        <w:ind w:left="-5"/>
        <w:rPr>
          <w:rFonts w:asciiTheme="minorHAnsi" w:hAnsiTheme="minorHAnsi" w:cstheme="minorHAnsi"/>
          <w:sz w:val="22"/>
        </w:rPr>
      </w:pPr>
      <w:r w:rsidRPr="00B7742C">
        <w:rPr>
          <w:rFonts w:asciiTheme="minorHAnsi" w:hAnsiTheme="minorHAnsi" w:cstheme="minorHAnsi"/>
          <w:sz w:val="22"/>
        </w:rPr>
        <w:t>The scope of this year’s report is different f</w:t>
      </w:r>
      <w:r w:rsidR="00413ADB" w:rsidRPr="00B7742C">
        <w:rPr>
          <w:rFonts w:asciiTheme="minorHAnsi" w:hAnsiTheme="minorHAnsi" w:cstheme="minorHAnsi"/>
          <w:sz w:val="22"/>
        </w:rPr>
        <w:t>rom</w:t>
      </w:r>
      <w:r w:rsidRPr="00B7742C">
        <w:rPr>
          <w:rFonts w:asciiTheme="minorHAnsi" w:hAnsiTheme="minorHAnsi" w:cstheme="minorHAnsi"/>
          <w:sz w:val="22"/>
        </w:rPr>
        <w:t xml:space="preserve"> previous years </w:t>
      </w:r>
      <w:r w:rsidR="00413ADB" w:rsidRPr="00B7742C">
        <w:rPr>
          <w:rFonts w:asciiTheme="minorHAnsi" w:hAnsiTheme="minorHAnsi" w:cstheme="minorHAnsi"/>
          <w:sz w:val="22"/>
        </w:rPr>
        <w:t xml:space="preserve">reflecting the </w:t>
      </w:r>
      <w:r w:rsidR="00AF1D79" w:rsidRPr="00B7742C">
        <w:rPr>
          <w:rFonts w:asciiTheme="minorHAnsi" w:hAnsiTheme="minorHAnsi" w:cstheme="minorHAnsi"/>
          <w:sz w:val="22"/>
        </w:rPr>
        <w:t xml:space="preserve">change </w:t>
      </w:r>
      <w:r w:rsidR="00AE68CD" w:rsidRPr="00B7742C">
        <w:rPr>
          <w:rFonts w:asciiTheme="minorHAnsi" w:hAnsiTheme="minorHAnsi" w:cstheme="minorHAnsi"/>
          <w:sz w:val="22"/>
        </w:rPr>
        <w:t>of LINK’s working practices.</w:t>
      </w:r>
      <w:r w:rsidR="00E96B4D" w:rsidRPr="00B7742C">
        <w:rPr>
          <w:rFonts w:asciiTheme="minorHAnsi" w:hAnsiTheme="minorHAnsi" w:cstheme="minorHAnsi"/>
          <w:sz w:val="22"/>
        </w:rPr>
        <w:t xml:space="preserve"> </w:t>
      </w:r>
      <w:r w:rsidR="00AE68CD" w:rsidRPr="00B7742C">
        <w:rPr>
          <w:rFonts w:asciiTheme="minorHAnsi" w:hAnsiTheme="minorHAnsi" w:cstheme="minorHAnsi"/>
          <w:sz w:val="22"/>
        </w:rPr>
        <w:t xml:space="preserve"> </w:t>
      </w:r>
      <w:r w:rsidR="002C7F43" w:rsidRPr="00B7742C">
        <w:rPr>
          <w:rFonts w:asciiTheme="minorHAnsi" w:hAnsiTheme="minorHAnsi" w:cstheme="minorHAnsi"/>
          <w:sz w:val="22"/>
        </w:rPr>
        <w:t>Following the lifting of COVID lockdowns</w:t>
      </w:r>
      <w:r w:rsidR="00C513FF" w:rsidRPr="00B7742C">
        <w:rPr>
          <w:rFonts w:asciiTheme="minorHAnsi" w:hAnsiTheme="minorHAnsi" w:cstheme="minorHAnsi"/>
          <w:sz w:val="22"/>
        </w:rPr>
        <w:t xml:space="preserve">, </w:t>
      </w:r>
      <w:r w:rsidR="004C2231" w:rsidRPr="00B7742C">
        <w:rPr>
          <w:rFonts w:asciiTheme="minorHAnsi" w:hAnsiTheme="minorHAnsi" w:cstheme="minorHAnsi"/>
          <w:sz w:val="22"/>
        </w:rPr>
        <w:t>staff</w:t>
      </w:r>
      <w:r w:rsidR="00122318" w:rsidRPr="00B7742C">
        <w:rPr>
          <w:rFonts w:asciiTheme="minorHAnsi" w:hAnsiTheme="minorHAnsi" w:cstheme="minorHAnsi"/>
          <w:sz w:val="22"/>
        </w:rPr>
        <w:t xml:space="preserve"> are now working</w:t>
      </w:r>
      <w:r w:rsidR="00490EE7" w:rsidRPr="00B7742C">
        <w:rPr>
          <w:rFonts w:asciiTheme="minorHAnsi" w:hAnsiTheme="minorHAnsi" w:cstheme="minorHAnsi"/>
          <w:sz w:val="22"/>
        </w:rPr>
        <w:t xml:space="preserve"> on a hybrid</w:t>
      </w:r>
      <w:r w:rsidR="0027524E" w:rsidRPr="00B7742C">
        <w:rPr>
          <w:rFonts w:asciiTheme="minorHAnsi" w:hAnsiTheme="minorHAnsi" w:cstheme="minorHAnsi"/>
          <w:sz w:val="22"/>
        </w:rPr>
        <w:t xml:space="preserve"> model with a mix</w:t>
      </w:r>
      <w:r w:rsidR="00490EE7" w:rsidRPr="00B7742C">
        <w:rPr>
          <w:rFonts w:asciiTheme="minorHAnsi" w:hAnsiTheme="minorHAnsi" w:cstheme="minorHAnsi"/>
          <w:sz w:val="22"/>
        </w:rPr>
        <w:t xml:space="preserve"> of </w:t>
      </w:r>
      <w:r w:rsidR="0027524E" w:rsidRPr="00B7742C">
        <w:rPr>
          <w:rFonts w:asciiTheme="minorHAnsi" w:hAnsiTheme="minorHAnsi" w:cstheme="minorHAnsi"/>
          <w:sz w:val="22"/>
        </w:rPr>
        <w:t xml:space="preserve">remote </w:t>
      </w:r>
      <w:r w:rsidR="00BA455E" w:rsidRPr="00B7742C">
        <w:rPr>
          <w:rFonts w:asciiTheme="minorHAnsi" w:hAnsiTheme="minorHAnsi" w:cstheme="minorHAnsi"/>
          <w:sz w:val="22"/>
        </w:rPr>
        <w:t>an</w:t>
      </w:r>
      <w:r w:rsidR="00490EE7" w:rsidRPr="00B7742C">
        <w:rPr>
          <w:rFonts w:asciiTheme="minorHAnsi" w:hAnsiTheme="minorHAnsi" w:cstheme="minorHAnsi"/>
          <w:sz w:val="22"/>
        </w:rPr>
        <w:t>d</w:t>
      </w:r>
      <w:r w:rsidR="00BA455E" w:rsidRPr="00B7742C">
        <w:rPr>
          <w:rFonts w:asciiTheme="minorHAnsi" w:hAnsiTheme="minorHAnsi" w:cstheme="minorHAnsi"/>
          <w:sz w:val="22"/>
        </w:rPr>
        <w:t xml:space="preserve"> in-office</w:t>
      </w:r>
      <w:r w:rsidR="00C513FF" w:rsidRPr="00B7742C">
        <w:rPr>
          <w:rFonts w:asciiTheme="minorHAnsi" w:hAnsiTheme="minorHAnsi" w:cstheme="minorHAnsi"/>
          <w:sz w:val="22"/>
        </w:rPr>
        <w:t xml:space="preserve"> </w:t>
      </w:r>
      <w:r w:rsidR="0027524E" w:rsidRPr="00B7742C">
        <w:rPr>
          <w:rFonts w:asciiTheme="minorHAnsi" w:hAnsiTheme="minorHAnsi" w:cstheme="minorHAnsi"/>
          <w:sz w:val="22"/>
        </w:rPr>
        <w:t>working</w:t>
      </w:r>
      <w:r w:rsidR="00A50293" w:rsidRPr="00B7742C">
        <w:rPr>
          <w:rFonts w:asciiTheme="minorHAnsi" w:hAnsiTheme="minorHAnsi" w:cstheme="minorHAnsi"/>
          <w:sz w:val="22"/>
        </w:rPr>
        <w:t>.</w:t>
      </w:r>
      <w:r w:rsidR="005255D1" w:rsidRPr="00B7742C">
        <w:rPr>
          <w:rFonts w:asciiTheme="minorHAnsi" w:hAnsiTheme="minorHAnsi" w:cstheme="minorHAnsi"/>
          <w:sz w:val="22"/>
        </w:rPr>
        <w:t xml:space="preserve"> LINK continues to hold most meetings and events o</w:t>
      </w:r>
      <w:r w:rsidR="00C32324" w:rsidRPr="00B7742C">
        <w:rPr>
          <w:rFonts w:asciiTheme="minorHAnsi" w:hAnsiTheme="minorHAnsi" w:cstheme="minorHAnsi"/>
          <w:sz w:val="22"/>
        </w:rPr>
        <w:t xml:space="preserve">nline </w:t>
      </w:r>
      <w:r w:rsidR="00B86C89" w:rsidRPr="00B7742C">
        <w:rPr>
          <w:rFonts w:asciiTheme="minorHAnsi" w:hAnsiTheme="minorHAnsi" w:cstheme="minorHAnsi"/>
          <w:sz w:val="22"/>
        </w:rPr>
        <w:t xml:space="preserve">with </w:t>
      </w:r>
      <w:r w:rsidR="007B0887" w:rsidRPr="00B7742C">
        <w:rPr>
          <w:rFonts w:asciiTheme="minorHAnsi" w:hAnsiTheme="minorHAnsi" w:cstheme="minorHAnsi"/>
          <w:sz w:val="22"/>
        </w:rPr>
        <w:t>face-to-face</w:t>
      </w:r>
      <w:r w:rsidR="00B86C89" w:rsidRPr="00B7742C">
        <w:rPr>
          <w:rFonts w:asciiTheme="minorHAnsi" w:hAnsiTheme="minorHAnsi" w:cstheme="minorHAnsi"/>
          <w:sz w:val="22"/>
        </w:rPr>
        <w:t xml:space="preserve"> meetings </w:t>
      </w:r>
      <w:r w:rsidR="007B0887" w:rsidRPr="00B7742C">
        <w:rPr>
          <w:rFonts w:asciiTheme="minorHAnsi" w:hAnsiTheme="minorHAnsi" w:cstheme="minorHAnsi"/>
          <w:sz w:val="22"/>
        </w:rPr>
        <w:t>where practicable.</w:t>
      </w:r>
      <w:r w:rsidR="00E7655E" w:rsidRPr="00B7742C">
        <w:rPr>
          <w:rFonts w:asciiTheme="minorHAnsi" w:hAnsiTheme="minorHAnsi" w:cstheme="minorHAnsi"/>
          <w:sz w:val="22"/>
        </w:rPr>
        <w:t xml:space="preserve"> Energy emission</w:t>
      </w:r>
      <w:r w:rsidR="0098564F" w:rsidRPr="00B7742C">
        <w:rPr>
          <w:rFonts w:asciiTheme="minorHAnsi" w:hAnsiTheme="minorHAnsi" w:cstheme="minorHAnsi"/>
          <w:sz w:val="22"/>
        </w:rPr>
        <w:t xml:space="preserve"> </w:t>
      </w:r>
      <w:r w:rsidR="0036267D" w:rsidRPr="00B7742C">
        <w:rPr>
          <w:rFonts w:asciiTheme="minorHAnsi" w:hAnsiTheme="minorHAnsi" w:cstheme="minorHAnsi"/>
          <w:sz w:val="22"/>
        </w:rPr>
        <w:t>include</w:t>
      </w:r>
      <w:r w:rsidR="00864BF3" w:rsidRPr="00B7742C">
        <w:rPr>
          <w:rFonts w:asciiTheme="minorHAnsi" w:hAnsiTheme="minorHAnsi" w:cstheme="minorHAnsi"/>
          <w:sz w:val="22"/>
        </w:rPr>
        <w:t xml:space="preserve"> </w:t>
      </w:r>
      <w:r w:rsidR="00DF2020" w:rsidRPr="00B7742C">
        <w:rPr>
          <w:rFonts w:asciiTheme="minorHAnsi" w:hAnsiTheme="minorHAnsi" w:cstheme="minorHAnsi"/>
          <w:sz w:val="22"/>
        </w:rPr>
        <w:t>estimated h</w:t>
      </w:r>
      <w:r w:rsidR="00056788" w:rsidRPr="00B7742C">
        <w:rPr>
          <w:rFonts w:asciiTheme="minorHAnsi" w:hAnsiTheme="minorHAnsi" w:cstheme="minorHAnsi"/>
          <w:sz w:val="22"/>
        </w:rPr>
        <w:t xml:space="preserve">omeworking </w:t>
      </w:r>
      <w:r w:rsidR="00D725C7" w:rsidRPr="00B7742C">
        <w:rPr>
          <w:rFonts w:asciiTheme="minorHAnsi" w:hAnsiTheme="minorHAnsi" w:cstheme="minorHAnsi"/>
          <w:sz w:val="22"/>
        </w:rPr>
        <w:t xml:space="preserve">energy </w:t>
      </w:r>
      <w:r w:rsidR="00C720AF" w:rsidRPr="00B7742C">
        <w:rPr>
          <w:rFonts w:asciiTheme="minorHAnsi" w:hAnsiTheme="minorHAnsi" w:cstheme="minorHAnsi"/>
          <w:sz w:val="22"/>
        </w:rPr>
        <w:t>emissions, a</w:t>
      </w:r>
      <w:r w:rsidR="00127640" w:rsidRPr="00B7742C">
        <w:rPr>
          <w:rFonts w:asciiTheme="minorHAnsi" w:hAnsiTheme="minorHAnsi" w:cstheme="minorHAnsi"/>
          <w:sz w:val="22"/>
        </w:rPr>
        <w:t xml:space="preserve"> nominal amount to cover electricity</w:t>
      </w:r>
      <w:r w:rsidR="0085165B" w:rsidRPr="00B7742C">
        <w:rPr>
          <w:rFonts w:asciiTheme="minorHAnsi" w:hAnsiTheme="minorHAnsi" w:cstheme="minorHAnsi"/>
          <w:sz w:val="22"/>
        </w:rPr>
        <w:t xml:space="preserve"> </w:t>
      </w:r>
      <w:proofErr w:type="gramStart"/>
      <w:r w:rsidR="0085165B" w:rsidRPr="00B7742C">
        <w:rPr>
          <w:rFonts w:asciiTheme="minorHAnsi" w:hAnsiTheme="minorHAnsi" w:cstheme="minorHAnsi"/>
          <w:sz w:val="22"/>
        </w:rPr>
        <w:t>use</w:t>
      </w:r>
      <w:proofErr w:type="gramEnd"/>
      <w:r w:rsidR="0085165B" w:rsidRPr="00B7742C">
        <w:rPr>
          <w:rFonts w:asciiTheme="minorHAnsi" w:hAnsiTheme="minorHAnsi" w:cstheme="minorHAnsi"/>
          <w:sz w:val="22"/>
        </w:rPr>
        <w:t xml:space="preserve"> in both offices</w:t>
      </w:r>
      <w:r w:rsidR="00154292" w:rsidRPr="00B7742C">
        <w:rPr>
          <w:rFonts w:asciiTheme="minorHAnsi" w:hAnsiTheme="minorHAnsi" w:cstheme="minorHAnsi"/>
          <w:sz w:val="22"/>
        </w:rPr>
        <w:t xml:space="preserve">, </w:t>
      </w:r>
      <w:r w:rsidR="0085165B" w:rsidRPr="00B7742C">
        <w:rPr>
          <w:rFonts w:asciiTheme="minorHAnsi" w:hAnsiTheme="minorHAnsi" w:cstheme="minorHAnsi"/>
          <w:sz w:val="22"/>
        </w:rPr>
        <w:t>t</w:t>
      </w:r>
      <w:r w:rsidR="00864BF3" w:rsidRPr="00B7742C">
        <w:rPr>
          <w:rFonts w:asciiTheme="minorHAnsi" w:hAnsiTheme="minorHAnsi" w:cstheme="minorHAnsi"/>
          <w:sz w:val="22"/>
        </w:rPr>
        <w:t xml:space="preserve">ravel </w:t>
      </w:r>
      <w:r w:rsidR="00E76083" w:rsidRPr="00B7742C">
        <w:rPr>
          <w:rFonts w:asciiTheme="minorHAnsi" w:hAnsiTheme="minorHAnsi" w:cstheme="minorHAnsi"/>
          <w:sz w:val="22"/>
        </w:rPr>
        <w:t>for</w:t>
      </w:r>
      <w:r w:rsidR="008B6693" w:rsidRPr="00B7742C">
        <w:rPr>
          <w:rFonts w:asciiTheme="minorHAnsi" w:hAnsiTheme="minorHAnsi" w:cstheme="minorHAnsi"/>
          <w:sz w:val="22"/>
        </w:rPr>
        <w:t xml:space="preserve"> all</w:t>
      </w:r>
      <w:r w:rsidR="00E76083" w:rsidRPr="00B7742C">
        <w:rPr>
          <w:rFonts w:asciiTheme="minorHAnsi" w:hAnsiTheme="minorHAnsi" w:cstheme="minorHAnsi"/>
          <w:sz w:val="22"/>
        </w:rPr>
        <w:t xml:space="preserve"> employees</w:t>
      </w:r>
      <w:r w:rsidR="008B6693" w:rsidRPr="00B7742C">
        <w:rPr>
          <w:rFonts w:asciiTheme="minorHAnsi" w:hAnsiTheme="minorHAnsi" w:cstheme="minorHAnsi"/>
          <w:sz w:val="22"/>
        </w:rPr>
        <w:t xml:space="preserve"> (both business and commuting)</w:t>
      </w:r>
      <w:r w:rsidR="007D140D" w:rsidRPr="00B7742C">
        <w:rPr>
          <w:rFonts w:asciiTheme="minorHAnsi" w:hAnsiTheme="minorHAnsi" w:cstheme="minorHAnsi"/>
          <w:sz w:val="22"/>
        </w:rPr>
        <w:t>, waste,</w:t>
      </w:r>
      <w:r w:rsidR="00154292" w:rsidRPr="00B7742C">
        <w:rPr>
          <w:rFonts w:asciiTheme="minorHAnsi" w:hAnsiTheme="minorHAnsi" w:cstheme="minorHAnsi"/>
          <w:sz w:val="22"/>
        </w:rPr>
        <w:t xml:space="preserve"> and recycling</w:t>
      </w:r>
      <w:r w:rsidR="0036267D" w:rsidRPr="00B7742C">
        <w:rPr>
          <w:rFonts w:asciiTheme="minorHAnsi" w:hAnsiTheme="minorHAnsi" w:cstheme="minorHAnsi"/>
          <w:sz w:val="22"/>
        </w:rPr>
        <w:t xml:space="preserve"> from the Perth office</w:t>
      </w:r>
      <w:r w:rsidR="009C59F7" w:rsidRPr="00B7742C">
        <w:rPr>
          <w:rFonts w:asciiTheme="minorHAnsi" w:hAnsiTheme="minorHAnsi" w:cstheme="minorHAnsi"/>
          <w:sz w:val="22"/>
        </w:rPr>
        <w:t>.</w:t>
      </w:r>
      <w:r w:rsidR="003B42C2" w:rsidRPr="00B7742C">
        <w:rPr>
          <w:rFonts w:asciiTheme="minorHAnsi" w:hAnsiTheme="minorHAnsi" w:cstheme="minorHAnsi"/>
          <w:sz w:val="22"/>
        </w:rPr>
        <w:t xml:space="preserve"> </w:t>
      </w:r>
      <w:r w:rsidR="0036267D" w:rsidRPr="00B7742C">
        <w:rPr>
          <w:rFonts w:asciiTheme="minorHAnsi" w:hAnsiTheme="minorHAnsi" w:cstheme="minorHAnsi"/>
          <w:sz w:val="22"/>
        </w:rPr>
        <w:t xml:space="preserve">The </w:t>
      </w:r>
      <w:r w:rsidR="002D3A09" w:rsidRPr="00B7742C">
        <w:rPr>
          <w:rFonts w:asciiTheme="minorHAnsi" w:hAnsiTheme="minorHAnsi" w:cstheme="minorHAnsi"/>
          <w:sz w:val="22"/>
        </w:rPr>
        <w:t>collection of data fr</w:t>
      </w:r>
      <w:r w:rsidR="003B42C2" w:rsidRPr="00B7742C">
        <w:rPr>
          <w:rFonts w:asciiTheme="minorHAnsi" w:hAnsiTheme="minorHAnsi" w:cstheme="minorHAnsi"/>
          <w:sz w:val="22"/>
        </w:rPr>
        <w:t xml:space="preserve">om </w:t>
      </w:r>
      <w:r w:rsidR="002D3A09" w:rsidRPr="00B7742C">
        <w:rPr>
          <w:rFonts w:asciiTheme="minorHAnsi" w:hAnsiTheme="minorHAnsi" w:cstheme="minorHAnsi"/>
          <w:sz w:val="22"/>
        </w:rPr>
        <w:t>LINK’s Edinburgh office</w:t>
      </w:r>
      <w:r w:rsidR="00AA3DC1" w:rsidRPr="00B7742C">
        <w:rPr>
          <w:rFonts w:asciiTheme="minorHAnsi" w:hAnsiTheme="minorHAnsi" w:cstheme="minorHAnsi"/>
          <w:sz w:val="22"/>
        </w:rPr>
        <w:t xml:space="preserve"> has not been possible</w:t>
      </w:r>
      <w:r w:rsidR="00E41873" w:rsidRPr="00B7742C">
        <w:rPr>
          <w:rFonts w:asciiTheme="minorHAnsi" w:hAnsiTheme="minorHAnsi" w:cstheme="minorHAnsi"/>
          <w:sz w:val="22"/>
        </w:rPr>
        <w:t xml:space="preserve"> since October 2016.</w:t>
      </w:r>
    </w:p>
    <w:p w14:paraId="388A52EE" w14:textId="3DED53F2" w:rsidR="00182602" w:rsidRPr="00B7742C" w:rsidRDefault="000C7319" w:rsidP="00D217F7">
      <w:pPr>
        <w:spacing w:line="276" w:lineRule="auto"/>
        <w:ind w:left="-5"/>
        <w:rPr>
          <w:rFonts w:asciiTheme="minorHAnsi" w:hAnsiTheme="minorHAnsi" w:cstheme="minorHAnsi"/>
          <w:sz w:val="22"/>
        </w:rPr>
      </w:pPr>
      <w:r w:rsidRPr="00B7742C">
        <w:rPr>
          <w:rFonts w:asciiTheme="minorHAnsi" w:hAnsiTheme="minorHAnsi" w:cstheme="minorHAnsi"/>
          <w:sz w:val="22"/>
        </w:rPr>
        <w:t xml:space="preserve">The team’s </w:t>
      </w:r>
      <w:r w:rsidR="004D3B74" w:rsidRPr="00B7742C">
        <w:rPr>
          <w:rFonts w:asciiTheme="minorHAnsi" w:hAnsiTheme="minorHAnsi" w:cstheme="minorHAnsi"/>
          <w:sz w:val="22"/>
        </w:rPr>
        <w:t xml:space="preserve">estimated </w:t>
      </w:r>
      <w:r w:rsidRPr="00B7742C">
        <w:rPr>
          <w:rFonts w:asciiTheme="minorHAnsi" w:hAnsiTheme="minorHAnsi" w:cstheme="minorHAnsi"/>
          <w:sz w:val="22"/>
        </w:rPr>
        <w:t>homeworking</w:t>
      </w:r>
      <w:r w:rsidR="00F86143" w:rsidRPr="00B7742C">
        <w:rPr>
          <w:rFonts w:asciiTheme="minorHAnsi" w:hAnsiTheme="minorHAnsi" w:cstheme="minorHAnsi"/>
          <w:sz w:val="22"/>
        </w:rPr>
        <w:t xml:space="preserve"> energy emissions</w:t>
      </w:r>
      <w:r w:rsidR="004D3B74" w:rsidRPr="00B7742C">
        <w:rPr>
          <w:rFonts w:asciiTheme="minorHAnsi" w:hAnsiTheme="minorHAnsi" w:cstheme="minorHAnsi"/>
          <w:sz w:val="22"/>
        </w:rPr>
        <w:t xml:space="preserve"> are calculated based on guidance provided by Environmental consultants</w:t>
      </w:r>
      <w:r w:rsidR="00627BB7" w:rsidRPr="00B7742C">
        <w:rPr>
          <w:rFonts w:asciiTheme="minorHAnsi" w:hAnsiTheme="minorHAnsi" w:cstheme="minorHAnsi"/>
          <w:sz w:val="22"/>
        </w:rPr>
        <w:t xml:space="preserve"> </w:t>
      </w:r>
      <w:hyperlink r:id="rId17" w:tgtFrame="_blank" w:history="1">
        <w:proofErr w:type="spellStart"/>
        <w:r w:rsidR="00627BB7" w:rsidRPr="00B7742C">
          <w:rPr>
            <w:rFonts w:asciiTheme="minorHAnsi" w:hAnsiTheme="minorHAnsi" w:cstheme="minorHAnsi"/>
            <w:color w:val="0000FF"/>
            <w:sz w:val="22"/>
            <w:u w:val="single"/>
          </w:rPr>
          <w:t>EcoAct</w:t>
        </w:r>
        <w:proofErr w:type="spellEnd"/>
      </w:hyperlink>
      <w:r w:rsidR="00627BB7" w:rsidRPr="00B7742C">
        <w:rPr>
          <w:rFonts w:asciiTheme="minorHAnsi" w:hAnsiTheme="minorHAnsi" w:cstheme="minorHAnsi"/>
          <w:color w:val="0000FF"/>
          <w:sz w:val="22"/>
          <w:u w:val="single"/>
        </w:rPr>
        <w:t> </w:t>
      </w:r>
      <w:r w:rsidR="00627BB7" w:rsidRPr="00B7742C">
        <w:rPr>
          <w:rFonts w:asciiTheme="minorHAnsi" w:hAnsiTheme="minorHAnsi" w:cstheme="minorHAnsi"/>
          <w:color w:val="auto"/>
          <w:sz w:val="22"/>
        </w:rPr>
        <w:t>who have written a </w:t>
      </w:r>
      <w:hyperlink r:id="rId18" w:tgtFrame="_blank" w:history="1">
        <w:r w:rsidR="00627BB7" w:rsidRPr="00B7742C">
          <w:rPr>
            <w:rFonts w:asciiTheme="minorHAnsi" w:hAnsiTheme="minorHAnsi" w:cstheme="minorHAnsi"/>
            <w:color w:val="0000FF"/>
            <w:sz w:val="22"/>
            <w:u w:val="single"/>
          </w:rPr>
          <w:t>whitepaper on homeworking emissions</w:t>
        </w:r>
      </w:hyperlink>
      <w:r w:rsidR="00627BB7" w:rsidRPr="00B7742C">
        <w:rPr>
          <w:rFonts w:asciiTheme="minorHAnsi" w:hAnsiTheme="minorHAnsi" w:cstheme="minorHAnsi"/>
          <w:color w:val="auto"/>
          <w:sz w:val="22"/>
        </w:rPr>
        <w:t xml:space="preserve">  and </w:t>
      </w:r>
      <w:commentRangeStart w:id="1"/>
      <w:r w:rsidR="00627BB7" w:rsidRPr="00B7742C">
        <w:rPr>
          <w:rFonts w:asciiTheme="minorHAnsi" w:hAnsiTheme="minorHAnsi" w:cstheme="minorHAnsi"/>
          <w:color w:val="auto"/>
          <w:sz w:val="22"/>
        </w:rPr>
        <w:t>summarised</w:t>
      </w:r>
      <w:commentRangeEnd w:id="1"/>
      <w:r w:rsidR="005A51AD" w:rsidRPr="00B7742C">
        <w:rPr>
          <w:rStyle w:val="CommentReference"/>
          <w:sz w:val="22"/>
          <w:szCs w:val="22"/>
        </w:rPr>
        <w:commentReference w:id="1"/>
      </w:r>
      <w:r w:rsidR="00627BB7" w:rsidRPr="00B7742C">
        <w:rPr>
          <w:rFonts w:asciiTheme="minorHAnsi" w:hAnsiTheme="minorHAnsi" w:cstheme="minorHAnsi"/>
          <w:color w:val="auto"/>
          <w:sz w:val="22"/>
        </w:rPr>
        <w:t xml:space="preserve"> in a helpful Blog by Bulb (the UK's biggest green energy supplier) who contributed to this work  - </w:t>
      </w:r>
      <w:hyperlink r:id="rId19" w:history="1">
        <w:r w:rsidR="00627BB7" w:rsidRPr="00B7742C">
          <w:rPr>
            <w:rFonts w:asciiTheme="minorHAnsi" w:hAnsiTheme="minorHAnsi" w:cstheme="minorHAnsi"/>
            <w:color w:val="0000FF"/>
            <w:sz w:val="22"/>
            <w:u w:val="single"/>
          </w:rPr>
          <w:t>How to measure the carbon impact of working from home | Blog | Bulb</w:t>
        </w:r>
      </w:hyperlink>
      <w:r w:rsidR="00627BB7" w:rsidRPr="00B7742C">
        <w:rPr>
          <w:rFonts w:asciiTheme="minorHAnsi" w:hAnsiTheme="minorHAnsi" w:cstheme="minorHAnsi"/>
          <w:sz w:val="22"/>
        </w:rPr>
        <w:t>.</w:t>
      </w:r>
    </w:p>
    <w:p w14:paraId="6FAB518F" w14:textId="0ED7F78A" w:rsidR="003246F7" w:rsidRPr="00B7742C" w:rsidRDefault="00A039FF" w:rsidP="43596FAA">
      <w:pPr>
        <w:spacing w:line="276" w:lineRule="auto"/>
        <w:ind w:left="-5"/>
        <w:rPr>
          <w:rFonts w:asciiTheme="minorHAnsi" w:hAnsiTheme="minorHAnsi" w:cstheme="minorBidi"/>
          <w:sz w:val="22"/>
        </w:rPr>
      </w:pPr>
      <w:r w:rsidRPr="43596FAA">
        <w:rPr>
          <w:rFonts w:asciiTheme="minorHAnsi" w:hAnsiTheme="minorHAnsi" w:cstheme="minorBidi"/>
          <w:sz w:val="22"/>
        </w:rPr>
        <w:t>The carbon equivalent f</w:t>
      </w:r>
      <w:r w:rsidR="007911CC" w:rsidRPr="43596FAA">
        <w:rPr>
          <w:rFonts w:asciiTheme="minorHAnsi" w:hAnsiTheme="minorHAnsi" w:cstheme="minorBidi"/>
          <w:sz w:val="22"/>
        </w:rPr>
        <w:t>igures are calculated based on the</w:t>
      </w:r>
      <w:r w:rsidR="00E9040E" w:rsidRPr="43596FAA">
        <w:rPr>
          <w:rFonts w:asciiTheme="minorHAnsi" w:hAnsiTheme="minorHAnsi" w:cstheme="minorBidi"/>
          <w:sz w:val="22"/>
        </w:rPr>
        <w:t xml:space="preserve"> </w:t>
      </w:r>
      <w:bookmarkStart w:id="2" w:name="_Hlk514925325"/>
      <w:r w:rsidR="00E9040E" w:rsidRPr="43596FAA">
        <w:rPr>
          <w:rFonts w:asciiTheme="minorHAnsi" w:hAnsiTheme="minorHAnsi" w:cstheme="minorBidi"/>
          <w:sz w:val="22"/>
        </w:rPr>
        <w:t xml:space="preserve">conversion factors published in </w:t>
      </w:r>
      <w:bookmarkStart w:id="3" w:name="_Hlk49852191"/>
      <w:r w:rsidR="00E9040E" w:rsidRPr="43596FAA">
        <w:rPr>
          <w:rFonts w:asciiTheme="minorHAnsi" w:hAnsiTheme="minorHAnsi" w:cstheme="minorBidi"/>
          <w:sz w:val="22"/>
        </w:rPr>
        <w:t>the</w:t>
      </w:r>
      <w:r w:rsidR="007911CC" w:rsidRPr="43596FAA">
        <w:rPr>
          <w:rFonts w:asciiTheme="minorHAnsi" w:hAnsiTheme="minorHAnsi" w:cstheme="minorBidi"/>
          <w:sz w:val="22"/>
        </w:rPr>
        <w:t xml:space="preserve"> </w:t>
      </w:r>
      <w:hyperlink r:id="rId20">
        <w:r w:rsidR="0019032D" w:rsidRPr="43596FAA">
          <w:rPr>
            <w:rStyle w:val="Hyperlink"/>
            <w:rFonts w:asciiTheme="minorHAnsi" w:hAnsiTheme="minorHAnsi" w:cstheme="minorBidi"/>
            <w:sz w:val="22"/>
          </w:rPr>
          <w:t>Government guidelines</w:t>
        </w:r>
      </w:hyperlink>
      <w:r w:rsidR="007911CC" w:rsidRPr="43596FAA">
        <w:rPr>
          <w:rFonts w:asciiTheme="minorHAnsi" w:hAnsiTheme="minorHAnsi" w:cstheme="minorBidi"/>
          <w:sz w:val="22"/>
        </w:rPr>
        <w:t xml:space="preserve"> for 20</w:t>
      </w:r>
      <w:bookmarkEnd w:id="2"/>
      <w:bookmarkEnd w:id="3"/>
      <w:r w:rsidR="00F81595" w:rsidRPr="43596FAA">
        <w:rPr>
          <w:rFonts w:asciiTheme="minorHAnsi" w:hAnsiTheme="minorHAnsi" w:cstheme="minorBidi"/>
          <w:sz w:val="22"/>
        </w:rPr>
        <w:t>20.</w:t>
      </w:r>
      <w:r w:rsidR="00E8149B" w:rsidRPr="43596FAA">
        <w:rPr>
          <w:rFonts w:asciiTheme="minorHAnsi" w:hAnsiTheme="minorHAnsi" w:cstheme="minorBidi"/>
          <w:sz w:val="22"/>
        </w:rPr>
        <w:t xml:space="preserve"> </w:t>
      </w:r>
      <w:r w:rsidR="00E8026A" w:rsidRPr="43596FAA">
        <w:rPr>
          <w:rFonts w:asciiTheme="minorHAnsi" w:hAnsiTheme="minorHAnsi" w:cstheme="minorBidi"/>
          <w:sz w:val="22"/>
        </w:rPr>
        <w:t>Ou</w:t>
      </w:r>
      <w:r w:rsidR="00C2055E" w:rsidRPr="43596FAA">
        <w:rPr>
          <w:rFonts w:asciiTheme="minorHAnsi" w:hAnsiTheme="minorHAnsi" w:cstheme="minorBidi"/>
          <w:sz w:val="22"/>
        </w:rPr>
        <w:t>r</w:t>
      </w:r>
      <w:r w:rsidR="00E8026A" w:rsidRPr="43596FAA">
        <w:rPr>
          <w:rFonts w:asciiTheme="minorHAnsi" w:hAnsiTheme="minorHAnsi" w:cstheme="minorBidi"/>
          <w:sz w:val="22"/>
        </w:rPr>
        <w:t xml:space="preserve"> </w:t>
      </w:r>
      <w:r w:rsidR="00F8754D" w:rsidRPr="43596FAA">
        <w:rPr>
          <w:rFonts w:asciiTheme="minorHAnsi" w:hAnsiTheme="minorHAnsi" w:cstheme="minorBidi"/>
          <w:sz w:val="22"/>
        </w:rPr>
        <w:t>e</w:t>
      </w:r>
      <w:r w:rsidR="00E8026A" w:rsidRPr="43596FAA">
        <w:rPr>
          <w:rFonts w:asciiTheme="minorHAnsi" w:hAnsiTheme="minorHAnsi" w:cstheme="minorBidi"/>
          <w:sz w:val="22"/>
        </w:rPr>
        <w:t>mission levels</w:t>
      </w:r>
      <w:r w:rsidR="009C0642" w:rsidRPr="43596FAA">
        <w:rPr>
          <w:rFonts w:asciiTheme="minorHAnsi" w:hAnsiTheme="minorHAnsi" w:cstheme="minorBidi"/>
          <w:sz w:val="22"/>
        </w:rPr>
        <w:t xml:space="preserve"> in terms of metric tonnes </w:t>
      </w:r>
      <w:r w:rsidR="00F8754D" w:rsidRPr="43596FAA">
        <w:rPr>
          <w:rFonts w:asciiTheme="minorHAnsi" w:hAnsiTheme="minorHAnsi" w:cstheme="minorBidi"/>
          <w:sz w:val="22"/>
        </w:rPr>
        <w:t xml:space="preserve">increased </w:t>
      </w:r>
      <w:r w:rsidR="009C0642" w:rsidRPr="43596FAA">
        <w:rPr>
          <w:rFonts w:asciiTheme="minorHAnsi" w:hAnsiTheme="minorHAnsi" w:cstheme="minorBidi"/>
          <w:sz w:val="22"/>
        </w:rPr>
        <w:t>as the</w:t>
      </w:r>
      <w:r w:rsidR="5C0BE945" w:rsidRPr="43596FAA">
        <w:rPr>
          <w:rFonts w:asciiTheme="minorHAnsi" w:hAnsiTheme="minorHAnsi" w:cstheme="minorBidi"/>
          <w:sz w:val="22"/>
        </w:rPr>
        <w:t xml:space="preserve"> </w:t>
      </w:r>
      <w:proofErr w:type="gramStart"/>
      <w:r w:rsidR="009C0642" w:rsidRPr="43596FAA">
        <w:rPr>
          <w:rFonts w:asciiTheme="minorHAnsi" w:hAnsiTheme="minorHAnsi" w:cstheme="minorBidi"/>
          <w:sz w:val="22"/>
        </w:rPr>
        <w:t>emission  of</w:t>
      </w:r>
      <w:proofErr w:type="gramEnd"/>
      <w:r w:rsidR="009C0642" w:rsidRPr="43596FAA">
        <w:rPr>
          <w:rFonts w:asciiTheme="minorHAnsi" w:hAnsiTheme="minorHAnsi" w:cstheme="minorBidi"/>
          <w:sz w:val="22"/>
        </w:rPr>
        <w:t xml:space="preserve"> kg CO2e </w:t>
      </w:r>
      <w:r w:rsidR="00C2055E" w:rsidRPr="43596FAA">
        <w:rPr>
          <w:rFonts w:asciiTheme="minorHAnsi" w:hAnsiTheme="minorHAnsi" w:cstheme="minorBidi"/>
          <w:sz w:val="22"/>
        </w:rPr>
        <w:t>are</w:t>
      </w:r>
      <w:r w:rsidR="007B3F34" w:rsidRPr="43596FAA">
        <w:rPr>
          <w:rFonts w:asciiTheme="minorHAnsi" w:hAnsiTheme="minorHAnsi" w:cstheme="minorBidi"/>
          <w:sz w:val="22"/>
        </w:rPr>
        <w:t xml:space="preserve"> </w:t>
      </w:r>
      <w:r w:rsidR="00247ACD" w:rsidRPr="43596FAA">
        <w:rPr>
          <w:rFonts w:asciiTheme="minorHAnsi" w:hAnsiTheme="minorHAnsi" w:cstheme="minorBidi"/>
          <w:sz w:val="22"/>
        </w:rPr>
        <w:t xml:space="preserve">now </w:t>
      </w:r>
      <w:r w:rsidR="00A026FF" w:rsidRPr="43596FAA">
        <w:rPr>
          <w:rFonts w:asciiTheme="minorHAnsi" w:hAnsiTheme="minorHAnsi" w:cstheme="minorBidi"/>
          <w:sz w:val="22"/>
        </w:rPr>
        <w:t xml:space="preserve">calculated </w:t>
      </w:r>
      <w:r w:rsidR="005F446D" w:rsidRPr="43596FAA">
        <w:rPr>
          <w:rFonts w:asciiTheme="minorHAnsi" w:hAnsiTheme="minorHAnsi" w:cstheme="minorBidi"/>
          <w:sz w:val="22"/>
        </w:rPr>
        <w:t xml:space="preserve">at higher rates </w:t>
      </w:r>
      <w:r w:rsidR="00247ACD" w:rsidRPr="43596FAA">
        <w:rPr>
          <w:rFonts w:asciiTheme="minorHAnsi" w:hAnsiTheme="minorHAnsi" w:cstheme="minorBidi"/>
          <w:sz w:val="22"/>
        </w:rPr>
        <w:t xml:space="preserve">across </w:t>
      </w:r>
      <w:r w:rsidR="005F446D" w:rsidRPr="43596FAA">
        <w:rPr>
          <w:rFonts w:asciiTheme="minorHAnsi" w:hAnsiTheme="minorHAnsi" w:cstheme="minorBidi"/>
          <w:sz w:val="22"/>
        </w:rPr>
        <w:t xml:space="preserve">some </w:t>
      </w:r>
      <w:r w:rsidR="00247ACD" w:rsidRPr="43596FAA">
        <w:rPr>
          <w:rFonts w:asciiTheme="minorHAnsi" w:hAnsiTheme="minorHAnsi" w:cstheme="minorBidi"/>
          <w:sz w:val="22"/>
        </w:rPr>
        <w:t xml:space="preserve">forms of </w:t>
      </w:r>
      <w:r w:rsidR="007B3F34" w:rsidRPr="43596FAA">
        <w:rPr>
          <w:rFonts w:asciiTheme="minorHAnsi" w:hAnsiTheme="minorHAnsi" w:cstheme="minorBidi"/>
          <w:sz w:val="22"/>
        </w:rPr>
        <w:t>transport and energy</w:t>
      </w:r>
      <w:r w:rsidR="00247ACD" w:rsidRPr="43596FAA">
        <w:rPr>
          <w:rFonts w:asciiTheme="minorHAnsi" w:hAnsiTheme="minorHAnsi" w:cstheme="minorBidi"/>
          <w:sz w:val="22"/>
        </w:rPr>
        <w:t>.</w:t>
      </w:r>
    </w:p>
    <w:p w14:paraId="3EA76565" w14:textId="77777777" w:rsidR="00A347AA" w:rsidRPr="00B7742C" w:rsidRDefault="00A347AA" w:rsidP="00A347AA">
      <w:pPr>
        <w:spacing w:after="95" w:line="259" w:lineRule="auto"/>
        <w:ind w:left="0" w:firstLine="0"/>
        <w:rPr>
          <w:rFonts w:asciiTheme="minorHAnsi" w:hAnsiTheme="minorHAnsi" w:cstheme="minorHAnsi"/>
          <w:sz w:val="22"/>
        </w:rPr>
      </w:pPr>
      <w:r w:rsidRPr="00B7742C">
        <w:rPr>
          <w:rFonts w:asciiTheme="minorHAnsi" w:hAnsiTheme="minorHAnsi" w:cstheme="minorHAnsi"/>
          <w:sz w:val="22"/>
        </w:rPr>
        <w:t>LINK's environmental policy is based on the principle of the "3 Rs" - reducing consumption of energy and other resources, re-using resources as much as possible and recycling where possible.</w:t>
      </w:r>
    </w:p>
    <w:p w14:paraId="2BB9A17D" w14:textId="03564EE2" w:rsidR="00CA67C1" w:rsidRDefault="00B46FF5" w:rsidP="00453CF4">
      <w:pPr>
        <w:spacing w:after="0" w:line="276" w:lineRule="auto"/>
        <w:ind w:left="0" w:firstLine="0"/>
        <w:rPr>
          <w:rFonts w:asciiTheme="minorHAnsi" w:hAnsiTheme="minorHAnsi" w:cstheme="minorHAnsi"/>
        </w:rPr>
      </w:pPr>
      <w:r>
        <w:rPr>
          <w:rFonts w:asciiTheme="minorHAnsi" w:hAnsiTheme="minorHAnsi" w:cstheme="minorHAnsi"/>
          <w:sz w:val="22"/>
        </w:rPr>
        <w:t>Overall</w:t>
      </w:r>
      <w:r w:rsidR="00453CF4">
        <w:rPr>
          <w:rFonts w:asciiTheme="minorHAnsi" w:hAnsiTheme="minorHAnsi" w:cstheme="minorHAnsi"/>
          <w:sz w:val="22"/>
        </w:rPr>
        <w:t>, our</w:t>
      </w:r>
      <w:r w:rsidR="003246F7" w:rsidRPr="00B7742C">
        <w:rPr>
          <w:rFonts w:asciiTheme="minorHAnsi" w:hAnsiTheme="minorHAnsi" w:cstheme="minorHAnsi"/>
          <w:sz w:val="22"/>
        </w:rPr>
        <w:t xml:space="preserve"> Carbon Emissions for the year equated to 3.</w:t>
      </w:r>
      <w:r w:rsidR="0098135E" w:rsidRPr="00B7742C">
        <w:rPr>
          <w:rFonts w:asciiTheme="minorHAnsi" w:hAnsiTheme="minorHAnsi" w:cstheme="minorHAnsi"/>
          <w:sz w:val="22"/>
        </w:rPr>
        <w:t>3</w:t>
      </w:r>
      <w:r w:rsidR="003246F7" w:rsidRPr="00B7742C">
        <w:rPr>
          <w:rFonts w:asciiTheme="minorHAnsi" w:hAnsiTheme="minorHAnsi" w:cstheme="minorHAnsi"/>
          <w:sz w:val="22"/>
        </w:rPr>
        <w:t xml:space="preserve"> metric tonnes</w:t>
      </w:r>
      <w:r w:rsidR="00453CF4">
        <w:rPr>
          <w:rFonts w:asciiTheme="minorHAnsi" w:hAnsiTheme="minorHAnsi" w:cstheme="minorHAnsi"/>
          <w:sz w:val="22"/>
        </w:rPr>
        <w:t xml:space="preserve"> - an</w:t>
      </w:r>
      <w:r w:rsidR="003246F7" w:rsidRPr="00B7742C">
        <w:rPr>
          <w:rFonts w:asciiTheme="minorHAnsi" w:hAnsiTheme="minorHAnsi" w:cstheme="minorHAnsi"/>
          <w:sz w:val="22"/>
        </w:rPr>
        <w:t xml:space="preserve"> increase of </w:t>
      </w:r>
      <w:r w:rsidR="00156E65" w:rsidRPr="00B7742C">
        <w:rPr>
          <w:rFonts w:asciiTheme="minorHAnsi" w:hAnsiTheme="minorHAnsi" w:cstheme="minorHAnsi"/>
          <w:sz w:val="22"/>
        </w:rPr>
        <w:t>0.</w:t>
      </w:r>
      <w:r w:rsidR="00785F0E">
        <w:rPr>
          <w:rFonts w:asciiTheme="minorHAnsi" w:hAnsiTheme="minorHAnsi" w:cstheme="minorHAnsi"/>
          <w:sz w:val="22"/>
        </w:rPr>
        <w:t>73</w:t>
      </w:r>
      <w:r w:rsidR="003246F7" w:rsidRPr="00B7742C">
        <w:rPr>
          <w:rFonts w:asciiTheme="minorHAnsi" w:hAnsiTheme="minorHAnsi" w:cstheme="minorHAnsi"/>
          <w:sz w:val="22"/>
        </w:rPr>
        <w:t xml:space="preserve"> tonnes on</w:t>
      </w:r>
      <w:r w:rsidR="00CA67C1" w:rsidRPr="00B7742C">
        <w:rPr>
          <w:rFonts w:asciiTheme="minorHAnsi" w:hAnsiTheme="minorHAnsi" w:cstheme="minorHAnsi"/>
          <w:sz w:val="22"/>
        </w:rPr>
        <w:t xml:space="preserve"> 2020/21.</w:t>
      </w:r>
    </w:p>
    <w:p w14:paraId="68B87A7B" w14:textId="7B65B11F" w:rsidR="005A51AD" w:rsidRDefault="005A51AD" w:rsidP="00182602">
      <w:pPr>
        <w:spacing w:after="0" w:line="259" w:lineRule="auto"/>
        <w:ind w:left="0" w:firstLine="0"/>
        <w:rPr>
          <w:rFonts w:asciiTheme="minorHAnsi" w:hAnsiTheme="minorHAnsi" w:cstheme="minorHAnsi"/>
        </w:rPr>
      </w:pPr>
    </w:p>
    <w:p w14:paraId="0DD258EE" w14:textId="030CBFE5" w:rsidR="005A51AD" w:rsidRDefault="000D436A" w:rsidP="00182602">
      <w:pPr>
        <w:spacing w:after="0" w:line="259" w:lineRule="auto"/>
        <w:ind w:left="0" w:firstLine="0"/>
        <w:rPr>
          <w:rFonts w:asciiTheme="minorHAnsi" w:hAnsiTheme="minorHAnsi" w:cstheme="minorHAnsi"/>
        </w:rPr>
      </w:pPr>
      <w:r>
        <w:rPr>
          <w:noProof/>
        </w:rPr>
        <w:drawing>
          <wp:inline distT="0" distB="0" distL="0" distR="0" wp14:anchorId="1B2A5FBA" wp14:editId="30965662">
            <wp:extent cx="6524625" cy="2352675"/>
            <wp:effectExtent l="0" t="0" r="9525" b="9525"/>
            <wp:docPr id="18" name="Chart 18">
              <a:extLst xmlns:a="http://schemas.openxmlformats.org/drawingml/2006/main">
                <a:ext uri="{FF2B5EF4-FFF2-40B4-BE49-F238E27FC236}">
                  <a16:creationId xmlns:a16="http://schemas.microsoft.com/office/drawing/2014/main" id="{4EBDA3B4-D355-4A96-B036-06843BA46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1FEF60" w14:textId="77777777" w:rsidR="00B01A1A" w:rsidRDefault="00B01A1A" w:rsidP="00997527">
      <w:pPr>
        <w:spacing w:after="0" w:line="259" w:lineRule="auto"/>
        <w:ind w:left="0" w:firstLine="0"/>
        <w:rPr>
          <w:rFonts w:asciiTheme="minorHAnsi" w:hAnsiTheme="minorHAnsi" w:cstheme="minorHAnsi"/>
        </w:rPr>
      </w:pPr>
    </w:p>
    <w:p w14:paraId="4E2CA15C" w14:textId="022B4500" w:rsidR="00C32FC1" w:rsidRDefault="008F6119" w:rsidP="00C32FC1">
      <w:pPr>
        <w:spacing w:after="0" w:line="259" w:lineRule="auto"/>
        <w:ind w:left="0" w:firstLine="0"/>
        <w:rPr>
          <w:rFonts w:asciiTheme="minorHAnsi" w:hAnsiTheme="minorHAnsi" w:cstheme="minorHAnsi"/>
        </w:rPr>
      </w:pPr>
      <w:r>
        <w:rPr>
          <w:noProof/>
        </w:rPr>
        <w:lastRenderedPageBreak/>
        <w:drawing>
          <wp:anchor distT="0" distB="0" distL="114300" distR="114300" simplePos="0" relativeHeight="251658240" behindDoc="0" locked="0" layoutInCell="1" allowOverlap="1" wp14:anchorId="1907F0CA" wp14:editId="6031DD67">
            <wp:simplePos x="0" y="0"/>
            <wp:positionH relativeFrom="column">
              <wp:posOffset>2781300</wp:posOffset>
            </wp:positionH>
            <wp:positionV relativeFrom="paragraph">
              <wp:posOffset>0</wp:posOffset>
            </wp:positionV>
            <wp:extent cx="3676650" cy="2381250"/>
            <wp:effectExtent l="0" t="0" r="0" b="0"/>
            <wp:wrapSquare wrapText="bothSides"/>
            <wp:docPr id="4" name="Chart 4">
              <a:extLst xmlns:a="http://schemas.openxmlformats.org/drawingml/2006/main">
                <a:ext uri="{FF2B5EF4-FFF2-40B4-BE49-F238E27FC236}">
                  <a16:creationId xmlns:a16="http://schemas.microsoft.com/office/drawing/2014/main" id="{A8B29026-6C7A-412A-950E-B7B2D86D0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142EC" w:rsidRPr="000142EC">
        <w:rPr>
          <w:noProof/>
        </w:rPr>
        <w:t xml:space="preserve"> </w:t>
      </w:r>
    </w:p>
    <w:p w14:paraId="5B843482" w14:textId="1E94E212" w:rsidR="00C32FC1" w:rsidRDefault="00C32FC1" w:rsidP="00C32FC1">
      <w:pPr>
        <w:spacing w:after="0" w:line="259" w:lineRule="auto"/>
        <w:ind w:left="0" w:firstLine="0"/>
        <w:rPr>
          <w:rFonts w:asciiTheme="minorHAnsi" w:hAnsiTheme="minorHAnsi" w:cstheme="minorHAnsi"/>
        </w:rPr>
      </w:pPr>
    </w:p>
    <w:p w14:paraId="07F860AC" w14:textId="2AD9D774" w:rsidR="00C32FC1" w:rsidRDefault="00C32FC1" w:rsidP="00C32FC1">
      <w:pPr>
        <w:spacing w:after="0" w:line="259" w:lineRule="auto"/>
        <w:ind w:left="0" w:firstLine="0"/>
        <w:rPr>
          <w:rFonts w:asciiTheme="minorHAnsi" w:hAnsiTheme="minorHAnsi" w:cstheme="minorHAnsi"/>
        </w:rPr>
      </w:pPr>
    </w:p>
    <w:p w14:paraId="0FA02747" w14:textId="6BC77F7E" w:rsidR="00C32FC1" w:rsidRDefault="00C32FC1" w:rsidP="00C32FC1">
      <w:pPr>
        <w:spacing w:after="0" w:line="259" w:lineRule="auto"/>
        <w:ind w:left="0" w:firstLine="0"/>
        <w:rPr>
          <w:rFonts w:asciiTheme="minorHAnsi" w:hAnsiTheme="minorHAnsi" w:cstheme="minorHAnsi"/>
        </w:rPr>
      </w:pPr>
      <w:r>
        <w:rPr>
          <w:rFonts w:asciiTheme="minorHAnsi" w:hAnsiTheme="minorHAnsi" w:cstheme="minorHAnsi"/>
        </w:rPr>
        <w:t>The largest share of our emissions was generated from heating and power</w:t>
      </w:r>
      <w:r w:rsidRPr="00E8436D">
        <w:rPr>
          <w:rFonts w:asciiTheme="minorHAnsi" w:hAnsiTheme="minorHAnsi" w:cstheme="minorHAnsi"/>
        </w:rPr>
        <w:t>, with an increase of 0.38 metric tonnes from last year.</w:t>
      </w:r>
      <w:r>
        <w:rPr>
          <w:rFonts w:asciiTheme="minorHAnsi" w:hAnsiTheme="minorHAnsi" w:cstheme="minorHAnsi"/>
        </w:rPr>
        <w:t xml:space="preserve"> This increase in energy consumption is due to the return of staff to the offices (on a hybrid basis) and an increase in staffing levels of 0.76 FTE over the past year.</w:t>
      </w:r>
    </w:p>
    <w:p w14:paraId="70D0EF58" w14:textId="77777777" w:rsidR="00C32FC1" w:rsidRDefault="00C32FC1" w:rsidP="00C32FC1">
      <w:pPr>
        <w:spacing w:after="0" w:line="259" w:lineRule="auto"/>
        <w:ind w:left="0" w:firstLine="0"/>
        <w:rPr>
          <w:rFonts w:asciiTheme="minorHAnsi" w:hAnsiTheme="minorHAnsi" w:cstheme="minorHAnsi"/>
        </w:rPr>
      </w:pPr>
    </w:p>
    <w:p w14:paraId="3BF7A1F4" w14:textId="06BB1703" w:rsidR="00C32FC1" w:rsidRDefault="00C32FC1" w:rsidP="00C32FC1">
      <w:pPr>
        <w:spacing w:after="0" w:line="259" w:lineRule="auto"/>
        <w:ind w:left="0" w:firstLine="0"/>
        <w:rPr>
          <w:rFonts w:asciiTheme="minorHAnsi" w:hAnsiTheme="minorHAnsi" w:cstheme="minorHAnsi"/>
        </w:rPr>
      </w:pPr>
    </w:p>
    <w:p w14:paraId="416D2E15" w14:textId="77777777" w:rsidR="00C32FC1" w:rsidRDefault="00C32FC1" w:rsidP="00997527">
      <w:pPr>
        <w:spacing w:after="0" w:line="259" w:lineRule="auto"/>
        <w:ind w:left="0" w:firstLine="0"/>
        <w:rPr>
          <w:rFonts w:asciiTheme="minorHAnsi" w:hAnsiTheme="minorHAnsi" w:cstheme="minorHAnsi"/>
        </w:rPr>
      </w:pPr>
    </w:p>
    <w:p w14:paraId="2A65DC88" w14:textId="77777777" w:rsidR="00B01A1A" w:rsidRDefault="00B01A1A" w:rsidP="00997527">
      <w:pPr>
        <w:spacing w:after="0" w:line="259" w:lineRule="auto"/>
        <w:ind w:left="0" w:firstLine="0"/>
        <w:rPr>
          <w:rFonts w:asciiTheme="minorHAnsi" w:hAnsiTheme="minorHAnsi" w:cstheme="minorHAnsi"/>
        </w:rPr>
      </w:pPr>
    </w:p>
    <w:p w14:paraId="71CB3F78" w14:textId="7A5B3632" w:rsidR="00B01A1A" w:rsidRDefault="00C32FC1" w:rsidP="00997527">
      <w:pPr>
        <w:spacing w:after="0" w:line="259" w:lineRule="auto"/>
        <w:ind w:left="0" w:firstLine="0"/>
        <w:rPr>
          <w:rFonts w:asciiTheme="minorHAnsi" w:hAnsiTheme="minorHAnsi" w:cstheme="minorHAnsi"/>
        </w:rPr>
      </w:pPr>
      <w:r>
        <w:rPr>
          <w:noProof/>
        </w:rPr>
        <w:drawing>
          <wp:inline distT="0" distB="0" distL="0" distR="0" wp14:anchorId="183B0E95" wp14:editId="43B62C88">
            <wp:extent cx="6457950" cy="2938780"/>
            <wp:effectExtent l="0" t="0" r="0" b="13970"/>
            <wp:docPr id="17" name="Chart 17">
              <a:extLst xmlns:a="http://schemas.openxmlformats.org/drawingml/2006/main">
                <a:ext uri="{FF2B5EF4-FFF2-40B4-BE49-F238E27FC236}">
                  <a16:creationId xmlns:a16="http://schemas.microsoft.com/office/drawing/2014/main" id="{D106F3E3-DF4C-4FAF-A9CD-E2CCA0976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A962E4" w14:textId="77777777" w:rsidR="00BF7728" w:rsidRDefault="00BF7728" w:rsidP="00997527">
      <w:pPr>
        <w:spacing w:after="0" w:line="259" w:lineRule="auto"/>
        <w:ind w:left="0" w:firstLine="0"/>
        <w:rPr>
          <w:rFonts w:asciiTheme="minorHAnsi" w:hAnsiTheme="minorHAnsi" w:cstheme="minorHAnsi"/>
        </w:rPr>
      </w:pPr>
    </w:p>
    <w:p w14:paraId="509B7241" w14:textId="77777777" w:rsidR="00E922B9" w:rsidRDefault="00E922B9" w:rsidP="00997527">
      <w:pPr>
        <w:spacing w:after="0" w:line="259" w:lineRule="auto"/>
        <w:ind w:left="0" w:firstLine="0"/>
        <w:rPr>
          <w:rFonts w:asciiTheme="minorHAnsi" w:hAnsiTheme="minorHAnsi" w:cstheme="minorHAnsi"/>
        </w:rPr>
      </w:pPr>
    </w:p>
    <w:p w14:paraId="506B4194" w14:textId="237688AC" w:rsidR="00BF7728" w:rsidRDefault="00BF7728" w:rsidP="00BF7728">
      <w:pPr>
        <w:spacing w:after="95" w:line="259" w:lineRule="auto"/>
        <w:ind w:left="0" w:firstLine="0"/>
        <w:rPr>
          <w:rFonts w:asciiTheme="minorHAnsi" w:hAnsiTheme="minorHAnsi" w:cstheme="minorBidi"/>
        </w:rPr>
      </w:pPr>
      <w:r>
        <w:rPr>
          <w:rFonts w:asciiTheme="minorHAnsi" w:hAnsiTheme="minorHAnsi" w:cstheme="minorBidi"/>
        </w:rPr>
        <w:t>As the table above shows, the recommencement of travel for business and commuting post covid has increased our carbon emissions per employee by 4% compared to last year.</w:t>
      </w:r>
    </w:p>
    <w:p w14:paraId="6752980D" w14:textId="77777777" w:rsidR="00E922B9" w:rsidRDefault="00E922B9" w:rsidP="00BF7728">
      <w:pPr>
        <w:spacing w:after="95" w:line="259" w:lineRule="auto"/>
        <w:ind w:left="0" w:firstLine="0"/>
        <w:rPr>
          <w:rFonts w:asciiTheme="minorHAnsi" w:hAnsiTheme="minorHAnsi" w:cstheme="minorBidi"/>
        </w:rPr>
      </w:pPr>
    </w:p>
    <w:p w14:paraId="2B4E180F" w14:textId="77777777" w:rsidR="00E922B9" w:rsidRDefault="0006633A" w:rsidP="00997527">
      <w:pPr>
        <w:spacing w:after="0" w:line="259" w:lineRule="auto"/>
        <w:ind w:left="0" w:firstLine="0"/>
        <w:rPr>
          <w:rFonts w:asciiTheme="minorHAnsi" w:hAnsiTheme="minorHAnsi" w:cstheme="minorHAnsi"/>
          <w:b/>
          <w:bCs/>
        </w:rPr>
      </w:pPr>
      <w:r w:rsidRPr="0006633A">
        <w:rPr>
          <w:rFonts w:asciiTheme="minorHAnsi" w:hAnsiTheme="minorHAnsi" w:cstheme="minorHAnsi"/>
          <w:b/>
          <w:bCs/>
        </w:rPr>
        <w:t>Travel</w:t>
      </w:r>
    </w:p>
    <w:p w14:paraId="34FAEFA2" w14:textId="77777777" w:rsidR="00820134" w:rsidRDefault="00820134" w:rsidP="00997527">
      <w:pPr>
        <w:spacing w:after="0" w:line="259" w:lineRule="auto"/>
        <w:ind w:left="0" w:firstLine="0"/>
        <w:rPr>
          <w:rFonts w:asciiTheme="minorHAnsi" w:hAnsiTheme="minorHAnsi" w:cstheme="minorHAnsi"/>
          <w:b/>
          <w:bCs/>
        </w:rPr>
      </w:pPr>
    </w:p>
    <w:p w14:paraId="035F7B0B" w14:textId="067EBB46" w:rsidR="00E922B9" w:rsidRDefault="002E6E4D" w:rsidP="002E6E4D">
      <w:pPr>
        <w:spacing w:after="95" w:line="259" w:lineRule="auto"/>
        <w:ind w:left="0" w:firstLine="0"/>
        <w:rPr>
          <w:rFonts w:asciiTheme="minorHAnsi" w:hAnsiTheme="minorHAnsi" w:cstheme="minorHAnsi"/>
          <w:b/>
          <w:bCs/>
        </w:rPr>
      </w:pPr>
      <w:r>
        <w:rPr>
          <w:rFonts w:asciiTheme="minorHAnsi" w:hAnsiTheme="minorHAnsi" w:cstheme="minorHAnsi"/>
        </w:rPr>
        <w:t xml:space="preserve">As covid restrictions have lifted, staff are commuting back to the office on a rota basis and travelling occasionally on business, however </w:t>
      </w:r>
      <w:proofErr w:type="gramStart"/>
      <w:r>
        <w:rPr>
          <w:rFonts w:asciiTheme="minorHAnsi" w:hAnsiTheme="minorHAnsi" w:cstheme="minorHAnsi"/>
        </w:rPr>
        <w:t>the majority of</w:t>
      </w:r>
      <w:proofErr w:type="gramEnd"/>
      <w:r>
        <w:rPr>
          <w:rFonts w:asciiTheme="minorHAnsi" w:hAnsiTheme="minorHAnsi" w:cstheme="minorHAnsi"/>
        </w:rPr>
        <w:t xml:space="preserve"> meetings and events are now held online.</w:t>
      </w:r>
    </w:p>
    <w:p w14:paraId="3657D1C7" w14:textId="3B3DDE84" w:rsidR="006B48EF" w:rsidRDefault="006B48EF" w:rsidP="00997527">
      <w:pPr>
        <w:spacing w:after="0" w:line="259" w:lineRule="auto"/>
        <w:ind w:left="0" w:firstLine="0"/>
        <w:rPr>
          <w:rFonts w:asciiTheme="minorHAnsi" w:hAnsiTheme="minorHAnsi" w:cstheme="minorHAnsi"/>
        </w:rPr>
      </w:pPr>
      <w:r w:rsidRPr="006B48EF">
        <w:rPr>
          <w:rFonts w:asciiTheme="minorHAnsi" w:hAnsiTheme="minorHAnsi" w:cstheme="minorHAnsi"/>
        </w:rPr>
        <w:t>Rail travel remains the main form of travel for LINK staff.</w:t>
      </w:r>
      <w:r>
        <w:rPr>
          <w:rFonts w:asciiTheme="minorHAnsi" w:hAnsiTheme="minorHAnsi" w:cstheme="minorHAnsi"/>
        </w:rPr>
        <w:t xml:space="preserve"> There has been a small increase in travel by car </w:t>
      </w:r>
      <w:r w:rsidR="003822AB">
        <w:rPr>
          <w:rFonts w:asciiTheme="minorHAnsi" w:hAnsiTheme="minorHAnsi" w:cstheme="minorHAnsi"/>
        </w:rPr>
        <w:t xml:space="preserve">although this remains our least preferred method, only using cars to travel when the public </w:t>
      </w:r>
      <w:r w:rsidR="00794009">
        <w:rPr>
          <w:rFonts w:asciiTheme="minorHAnsi" w:hAnsiTheme="minorHAnsi" w:cstheme="minorHAnsi"/>
        </w:rPr>
        <w:t>transport option is unfeasible.</w:t>
      </w:r>
    </w:p>
    <w:p w14:paraId="4274A145" w14:textId="023ADFF8" w:rsidR="009D3BF0" w:rsidRDefault="009D3BF0" w:rsidP="00997527">
      <w:pPr>
        <w:spacing w:after="0" w:line="259" w:lineRule="auto"/>
        <w:ind w:left="0" w:firstLine="0"/>
        <w:rPr>
          <w:rFonts w:asciiTheme="minorHAnsi" w:hAnsiTheme="minorHAnsi" w:cstheme="minorHAnsi"/>
        </w:rPr>
      </w:pPr>
      <w:r>
        <w:rPr>
          <w:noProof/>
        </w:rPr>
        <w:lastRenderedPageBreak/>
        <w:drawing>
          <wp:inline distT="0" distB="0" distL="0" distR="0" wp14:anchorId="27AEEA9D" wp14:editId="127CCDAA">
            <wp:extent cx="6648450" cy="2950845"/>
            <wp:effectExtent l="0" t="0" r="0" b="1905"/>
            <wp:docPr id="20" name="Chart 20">
              <a:extLst xmlns:a="http://schemas.openxmlformats.org/drawingml/2006/main">
                <a:ext uri="{FF2B5EF4-FFF2-40B4-BE49-F238E27FC236}">
                  <a16:creationId xmlns:a16="http://schemas.microsoft.com/office/drawing/2014/main" id="{E9FAFE7E-9F80-404B-A9AF-CECF37485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B32775" w14:textId="77777777" w:rsidR="00794009" w:rsidRPr="0009415E" w:rsidRDefault="00794009" w:rsidP="00997527">
      <w:pPr>
        <w:spacing w:after="0" w:line="259" w:lineRule="auto"/>
        <w:ind w:left="0" w:firstLine="0"/>
        <w:rPr>
          <w:rFonts w:asciiTheme="minorHAnsi" w:hAnsiTheme="minorHAnsi" w:cstheme="minorHAnsi"/>
          <w:sz w:val="22"/>
        </w:rPr>
      </w:pPr>
    </w:p>
    <w:p w14:paraId="24D109E7" w14:textId="77777777" w:rsidR="00794009" w:rsidRPr="0009415E" w:rsidRDefault="00794009" w:rsidP="00997527">
      <w:pPr>
        <w:spacing w:after="0" w:line="259" w:lineRule="auto"/>
        <w:ind w:left="0" w:firstLine="0"/>
        <w:rPr>
          <w:rFonts w:asciiTheme="minorHAnsi" w:hAnsiTheme="minorHAnsi" w:cstheme="minorHAnsi"/>
          <w:sz w:val="22"/>
        </w:rPr>
      </w:pPr>
    </w:p>
    <w:p w14:paraId="564D4600" w14:textId="10ACA06A" w:rsidR="002E6E4D" w:rsidRPr="0009415E" w:rsidRDefault="001B4758" w:rsidP="001B4758">
      <w:pPr>
        <w:spacing w:after="95" w:line="259" w:lineRule="auto"/>
        <w:ind w:left="0" w:firstLine="0"/>
        <w:rPr>
          <w:rFonts w:asciiTheme="minorHAnsi" w:hAnsiTheme="minorHAnsi" w:cstheme="minorHAnsi"/>
          <w:szCs w:val="24"/>
        </w:rPr>
      </w:pPr>
      <w:r w:rsidRPr="0009415E">
        <w:rPr>
          <w:rFonts w:asciiTheme="minorHAnsi" w:hAnsiTheme="minorHAnsi" w:cstheme="minorHAnsi"/>
          <w:szCs w:val="24"/>
        </w:rPr>
        <w:t xml:space="preserve">The split of staff business travel between the different projects/offices can be seen below.  </w:t>
      </w:r>
      <w:r w:rsidR="00673243" w:rsidRPr="0009415E">
        <w:rPr>
          <w:rFonts w:asciiTheme="minorHAnsi" w:hAnsiTheme="minorHAnsi" w:cstheme="minorHAnsi"/>
          <w:szCs w:val="24"/>
        </w:rPr>
        <w:t xml:space="preserve">The travel increase is attributable to </w:t>
      </w:r>
      <w:r w:rsidR="00F140FF" w:rsidRPr="0009415E">
        <w:rPr>
          <w:rFonts w:asciiTheme="minorHAnsi" w:hAnsiTheme="minorHAnsi" w:cstheme="minorHAnsi"/>
          <w:szCs w:val="24"/>
        </w:rPr>
        <w:t xml:space="preserve">the Perth office, where our Chief Officer, Deborah Long </w:t>
      </w:r>
      <w:r w:rsidR="002F6720" w:rsidRPr="0009415E">
        <w:rPr>
          <w:rFonts w:asciiTheme="minorHAnsi" w:hAnsiTheme="minorHAnsi" w:cstheme="minorHAnsi"/>
          <w:szCs w:val="24"/>
        </w:rPr>
        <w:t>is working with a wider range of external stakeholders to meet LINK’s goals of a more sustainable Scotland.</w:t>
      </w:r>
    </w:p>
    <w:p w14:paraId="63DA4D13" w14:textId="77777777" w:rsidR="002E6E4D" w:rsidRDefault="002E6E4D" w:rsidP="001B4758">
      <w:pPr>
        <w:spacing w:after="95" w:line="259" w:lineRule="auto"/>
        <w:ind w:left="0" w:firstLine="0"/>
      </w:pPr>
    </w:p>
    <w:p w14:paraId="4899A8EB" w14:textId="4D695C76" w:rsidR="002E6E4D" w:rsidRDefault="00256439" w:rsidP="001B4758">
      <w:pPr>
        <w:spacing w:after="95" w:line="259" w:lineRule="auto"/>
        <w:ind w:left="0" w:firstLine="0"/>
      </w:pPr>
      <w:r>
        <w:rPr>
          <w:noProof/>
        </w:rPr>
        <w:drawing>
          <wp:inline distT="0" distB="0" distL="0" distR="0" wp14:anchorId="2FFE0373" wp14:editId="77F40A5B">
            <wp:extent cx="6686550" cy="4514850"/>
            <wp:effectExtent l="0" t="0" r="0" b="0"/>
            <wp:docPr id="21" name="Chart 21">
              <a:extLst xmlns:a="http://schemas.openxmlformats.org/drawingml/2006/main">
                <a:ext uri="{FF2B5EF4-FFF2-40B4-BE49-F238E27FC236}">
                  <a16:creationId xmlns:a16="http://schemas.microsoft.com/office/drawing/2014/main" id="{5A178329-FE4F-2BA9-9238-9BA78E0D1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FEE5F0" w14:textId="61924F54" w:rsidR="0006633A" w:rsidRPr="0006633A" w:rsidRDefault="0006633A" w:rsidP="00997527">
      <w:pPr>
        <w:spacing w:after="0" w:line="259" w:lineRule="auto"/>
        <w:ind w:left="0" w:firstLine="0"/>
        <w:rPr>
          <w:rFonts w:asciiTheme="minorHAnsi" w:hAnsiTheme="minorHAnsi" w:cstheme="minorHAnsi"/>
          <w:b/>
          <w:bCs/>
        </w:rPr>
      </w:pPr>
    </w:p>
    <w:p w14:paraId="17853091" w14:textId="2AD5226B" w:rsidR="009B1FD8" w:rsidRDefault="006E1EC9" w:rsidP="00BC5D17">
      <w:pPr>
        <w:spacing w:after="95" w:line="259" w:lineRule="auto"/>
        <w:ind w:left="0" w:firstLine="0"/>
        <w:rPr>
          <w:rFonts w:asciiTheme="minorHAnsi" w:hAnsiTheme="minorHAnsi" w:cstheme="minorHAnsi"/>
        </w:rPr>
      </w:pPr>
      <w:r>
        <w:rPr>
          <w:rFonts w:asciiTheme="minorHAnsi" w:hAnsiTheme="minorHAnsi" w:cstheme="minorHAnsi"/>
        </w:rPr>
        <w:lastRenderedPageBreak/>
        <w:t xml:space="preserve">LINK’s </w:t>
      </w:r>
      <w:r w:rsidR="009B1FD8">
        <w:rPr>
          <w:rFonts w:asciiTheme="minorHAnsi" w:hAnsiTheme="minorHAnsi" w:cstheme="minorHAnsi"/>
        </w:rPr>
        <w:t>travel from commuting</w:t>
      </w:r>
      <w:r w:rsidR="00A4479B">
        <w:rPr>
          <w:rFonts w:asciiTheme="minorHAnsi" w:hAnsiTheme="minorHAnsi" w:cstheme="minorHAnsi"/>
        </w:rPr>
        <w:t xml:space="preserve"> has also increased slightly</w:t>
      </w:r>
      <w:r w:rsidR="000014C2">
        <w:rPr>
          <w:rFonts w:asciiTheme="minorHAnsi" w:hAnsiTheme="minorHAnsi" w:cstheme="minorHAnsi"/>
        </w:rPr>
        <w:t xml:space="preserve"> but this is predominantly attributed to one staff member of staff who commutes from a rural area</w:t>
      </w:r>
      <w:r w:rsidR="00631B8C">
        <w:rPr>
          <w:rFonts w:asciiTheme="minorHAnsi" w:hAnsiTheme="minorHAnsi" w:cstheme="minorHAnsi"/>
        </w:rPr>
        <w:t xml:space="preserve">. LINK continues to offer staff the opportunity to </w:t>
      </w:r>
      <w:r w:rsidR="0009415E">
        <w:rPr>
          <w:rFonts w:asciiTheme="minorHAnsi" w:hAnsiTheme="minorHAnsi" w:cstheme="minorHAnsi"/>
        </w:rPr>
        <w:t>participate in the Cycle to Work Scheme to encourage more travel by bicycle.</w:t>
      </w:r>
    </w:p>
    <w:p w14:paraId="446FB488" w14:textId="234B2CE8" w:rsidR="00FE6072" w:rsidRDefault="0009415E" w:rsidP="00BC5D17">
      <w:pPr>
        <w:spacing w:after="95" w:line="259" w:lineRule="auto"/>
        <w:ind w:left="0" w:firstLine="0"/>
        <w:rPr>
          <w:rFonts w:asciiTheme="minorHAnsi" w:hAnsiTheme="minorHAnsi" w:cstheme="minorHAnsi"/>
        </w:rPr>
      </w:pPr>
      <w:r>
        <w:rPr>
          <w:noProof/>
        </w:rPr>
        <w:drawing>
          <wp:anchor distT="0" distB="0" distL="114300" distR="114300" simplePos="0" relativeHeight="251659264" behindDoc="0" locked="0" layoutInCell="1" allowOverlap="1" wp14:anchorId="6598679D" wp14:editId="456D7B27">
            <wp:simplePos x="0" y="0"/>
            <wp:positionH relativeFrom="column">
              <wp:posOffset>-104775</wp:posOffset>
            </wp:positionH>
            <wp:positionV relativeFrom="paragraph">
              <wp:posOffset>307340</wp:posOffset>
            </wp:positionV>
            <wp:extent cx="6608445" cy="2752725"/>
            <wp:effectExtent l="0" t="0" r="1905" b="9525"/>
            <wp:wrapTopAndBottom/>
            <wp:docPr id="1" name="Chart 1">
              <a:extLst xmlns:a="http://schemas.openxmlformats.org/drawingml/2006/main">
                <a:ext uri="{FF2B5EF4-FFF2-40B4-BE49-F238E27FC236}">
                  <a16:creationId xmlns:a16="http://schemas.microsoft.com/office/drawing/2014/main" id="{8B8BDF2B-E6DC-90F9-FBE4-ED197BCE5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016823D1" w14:textId="2F61C3AC" w:rsidR="00235149" w:rsidRDefault="00235149" w:rsidP="00235149">
      <w:pPr>
        <w:spacing w:after="0"/>
        <w:ind w:left="-5"/>
        <w:rPr>
          <w:rFonts w:asciiTheme="minorHAnsi" w:hAnsiTheme="minorHAnsi" w:cstheme="minorHAnsi"/>
        </w:rPr>
      </w:pPr>
    </w:p>
    <w:p w14:paraId="15C7810D" w14:textId="3CFC249C" w:rsidR="002C6AF6" w:rsidRPr="00EF435E" w:rsidRDefault="002C6AF6" w:rsidP="00235149">
      <w:pPr>
        <w:spacing w:after="0"/>
        <w:ind w:left="-5"/>
        <w:rPr>
          <w:rFonts w:asciiTheme="minorHAnsi" w:hAnsiTheme="minorHAnsi" w:cstheme="minorHAnsi"/>
          <w:b/>
          <w:bCs/>
        </w:rPr>
      </w:pPr>
      <w:r w:rsidRPr="00EF435E">
        <w:rPr>
          <w:rFonts w:asciiTheme="minorHAnsi" w:hAnsiTheme="minorHAnsi" w:cstheme="minorHAnsi"/>
          <w:b/>
          <w:bCs/>
        </w:rPr>
        <w:t>Waste Disposal</w:t>
      </w:r>
    </w:p>
    <w:p w14:paraId="504A67AA" w14:textId="77777777" w:rsidR="00EF435E" w:rsidRPr="00EF435E" w:rsidRDefault="00EF435E" w:rsidP="00235149">
      <w:pPr>
        <w:spacing w:after="0"/>
        <w:ind w:left="-5"/>
        <w:rPr>
          <w:rFonts w:asciiTheme="minorHAnsi" w:hAnsiTheme="minorHAnsi" w:cstheme="minorHAnsi"/>
          <w:b/>
          <w:bCs/>
        </w:rPr>
      </w:pPr>
    </w:p>
    <w:p w14:paraId="3E480D6B" w14:textId="162FE04C" w:rsidR="00EF435E" w:rsidRPr="00EF435E" w:rsidRDefault="00EF435E" w:rsidP="00EF435E">
      <w:pPr>
        <w:spacing w:after="160" w:line="259" w:lineRule="auto"/>
        <w:ind w:left="0" w:firstLine="0"/>
        <w:rPr>
          <w:rFonts w:asciiTheme="minorHAnsi" w:hAnsiTheme="minorHAnsi" w:cstheme="minorHAnsi"/>
        </w:rPr>
      </w:pPr>
      <w:r w:rsidRPr="00EF435E">
        <w:rPr>
          <w:rFonts w:asciiTheme="minorHAnsi" w:hAnsiTheme="minorHAnsi" w:cstheme="minorHAnsi"/>
        </w:rPr>
        <w:t xml:space="preserve">LINK tracks waste disposed from its Perth office but is currently not able to capture that information for its Edinburgh office, although our Edinburgh staff separate their waste with as much as possible sent for recycling and all food waste collected </w:t>
      </w:r>
      <w:r w:rsidR="00962ACC">
        <w:rPr>
          <w:rFonts w:asciiTheme="minorHAnsi" w:hAnsiTheme="minorHAnsi" w:cstheme="minorHAnsi"/>
        </w:rPr>
        <w:t>for composting</w:t>
      </w:r>
      <w:r w:rsidRPr="00EF435E">
        <w:rPr>
          <w:rFonts w:asciiTheme="minorHAnsi" w:hAnsiTheme="minorHAnsi" w:cstheme="minorHAnsi"/>
        </w:rPr>
        <w:t>.</w:t>
      </w:r>
    </w:p>
    <w:p w14:paraId="6D379869" w14:textId="77777777" w:rsidR="00EF435E" w:rsidRDefault="00EF435E" w:rsidP="00EF435E">
      <w:pPr>
        <w:spacing w:after="37" w:line="259" w:lineRule="auto"/>
        <w:ind w:left="0" w:firstLine="0"/>
        <w:rPr>
          <w:rFonts w:asciiTheme="minorHAnsi" w:hAnsiTheme="minorHAnsi" w:cstheme="minorHAnsi"/>
        </w:rPr>
      </w:pPr>
      <w:r w:rsidRPr="00EF435E">
        <w:rPr>
          <w:rFonts w:asciiTheme="minorHAnsi" w:hAnsiTheme="minorHAnsi" w:cstheme="minorHAnsi"/>
        </w:rPr>
        <w:t xml:space="preserve">The amount of waste disposed to landfill from the Perth office has reduced; this can be partly attributed to a continued lower use of LINK meeting room. </w:t>
      </w:r>
    </w:p>
    <w:p w14:paraId="44FF0B47" w14:textId="77777777" w:rsidR="003906CF" w:rsidRDefault="003906CF" w:rsidP="00EF435E">
      <w:pPr>
        <w:spacing w:after="37" w:line="259" w:lineRule="auto"/>
        <w:ind w:left="0" w:firstLine="0"/>
        <w:rPr>
          <w:rFonts w:asciiTheme="minorHAnsi" w:hAnsiTheme="minorHAnsi" w:cstheme="minorHAnsi"/>
        </w:rPr>
      </w:pPr>
    </w:p>
    <w:p w14:paraId="44413A7B" w14:textId="28F14271" w:rsidR="003D17B5" w:rsidRDefault="003906CF" w:rsidP="00EF435E">
      <w:pPr>
        <w:spacing w:after="37" w:line="259" w:lineRule="auto"/>
        <w:ind w:left="0" w:firstLine="0"/>
        <w:rPr>
          <w:rFonts w:asciiTheme="minorHAnsi" w:hAnsiTheme="minorHAnsi" w:cstheme="minorHAnsi"/>
        </w:rPr>
      </w:pPr>
      <w:r>
        <w:rPr>
          <w:noProof/>
        </w:rPr>
        <w:drawing>
          <wp:inline distT="0" distB="0" distL="0" distR="0" wp14:anchorId="4A8EC3A4" wp14:editId="091454D8">
            <wp:extent cx="6610350" cy="2419350"/>
            <wp:effectExtent l="0" t="0" r="0" b="0"/>
            <wp:docPr id="5" name="Chart 5">
              <a:extLst xmlns:a="http://schemas.openxmlformats.org/drawingml/2006/main">
                <a:ext uri="{FF2B5EF4-FFF2-40B4-BE49-F238E27FC236}">
                  <a16:creationId xmlns:a16="http://schemas.microsoft.com/office/drawing/2014/main" id="{C6EBD085-B4A0-A4F0-3C1C-B6A895503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4E19D9" w14:textId="77777777" w:rsidR="003D17B5" w:rsidRDefault="003D17B5" w:rsidP="00EF435E">
      <w:pPr>
        <w:spacing w:after="37" w:line="259" w:lineRule="auto"/>
        <w:ind w:left="0" w:firstLine="0"/>
        <w:rPr>
          <w:rFonts w:asciiTheme="minorHAnsi" w:hAnsiTheme="minorHAnsi" w:cstheme="minorHAnsi"/>
        </w:rPr>
      </w:pPr>
    </w:p>
    <w:p w14:paraId="08DEEC7C" w14:textId="77777777" w:rsidR="00EF435E" w:rsidRPr="00EF435E" w:rsidRDefault="00EF435E" w:rsidP="00EF435E">
      <w:pPr>
        <w:spacing w:after="37" w:line="259" w:lineRule="auto"/>
        <w:ind w:left="0" w:firstLine="0"/>
        <w:rPr>
          <w:rFonts w:asciiTheme="minorHAnsi" w:hAnsiTheme="minorHAnsi" w:cstheme="minorHAnsi"/>
        </w:rPr>
      </w:pPr>
    </w:p>
    <w:p w14:paraId="2BB34C37" w14:textId="1DD4CC0C" w:rsidR="006614D5" w:rsidRPr="006614D5" w:rsidRDefault="00366045" w:rsidP="006614D5">
      <w:pPr>
        <w:spacing w:after="0"/>
        <w:ind w:left="-5"/>
        <w:rPr>
          <w:rFonts w:asciiTheme="minorHAnsi" w:hAnsiTheme="minorHAnsi" w:cstheme="minorHAnsi"/>
        </w:rPr>
      </w:pPr>
      <w:r>
        <w:rPr>
          <w:rFonts w:asciiTheme="minorHAnsi" w:hAnsiTheme="minorHAnsi" w:cstheme="minorHAnsi"/>
        </w:rPr>
        <w:t>In both offices</w:t>
      </w:r>
      <w:r w:rsidR="00541028">
        <w:rPr>
          <w:rFonts w:asciiTheme="minorHAnsi" w:hAnsiTheme="minorHAnsi" w:cstheme="minorHAnsi"/>
        </w:rPr>
        <w:t xml:space="preserve">, food waste is taken home by staff to be </w:t>
      </w:r>
      <w:r w:rsidR="0081029B">
        <w:rPr>
          <w:rFonts w:asciiTheme="minorHAnsi" w:hAnsiTheme="minorHAnsi" w:cstheme="minorHAnsi"/>
        </w:rPr>
        <w:t>composted through</w:t>
      </w:r>
      <w:r w:rsidR="003C6CFA">
        <w:rPr>
          <w:rFonts w:asciiTheme="minorHAnsi" w:hAnsiTheme="minorHAnsi" w:cstheme="minorHAnsi"/>
        </w:rPr>
        <w:t xml:space="preserve"> the Local Authorities’ composting service or</w:t>
      </w:r>
      <w:r w:rsidR="00AD07CA">
        <w:rPr>
          <w:rFonts w:asciiTheme="minorHAnsi" w:hAnsiTheme="minorHAnsi" w:cstheme="minorHAnsi"/>
        </w:rPr>
        <w:t xml:space="preserve"> </w:t>
      </w:r>
      <w:r w:rsidR="0081029B">
        <w:rPr>
          <w:rFonts w:asciiTheme="minorHAnsi" w:hAnsiTheme="minorHAnsi" w:cstheme="minorHAnsi"/>
        </w:rPr>
        <w:t>in</w:t>
      </w:r>
      <w:r w:rsidR="00AD07CA">
        <w:rPr>
          <w:rFonts w:asciiTheme="minorHAnsi" w:hAnsiTheme="minorHAnsi" w:cstheme="minorHAnsi"/>
        </w:rPr>
        <w:t xml:space="preserve"> home composting.</w:t>
      </w:r>
    </w:p>
    <w:p w14:paraId="54E04541" w14:textId="77777777" w:rsidR="009D2739" w:rsidRPr="00EF435E" w:rsidRDefault="009D2739" w:rsidP="00235149">
      <w:pPr>
        <w:spacing w:after="0"/>
        <w:ind w:left="-5"/>
        <w:rPr>
          <w:rFonts w:asciiTheme="minorHAnsi" w:hAnsiTheme="minorHAnsi" w:cstheme="minorHAnsi"/>
          <w:b/>
          <w:bCs/>
        </w:rPr>
      </w:pPr>
    </w:p>
    <w:p w14:paraId="02A6CF12" w14:textId="77777777" w:rsidR="009D2739" w:rsidRPr="00EF435E" w:rsidRDefault="009D2739" w:rsidP="00235149">
      <w:pPr>
        <w:spacing w:after="0"/>
        <w:ind w:left="-5"/>
        <w:rPr>
          <w:rFonts w:asciiTheme="minorHAnsi" w:hAnsiTheme="minorHAnsi" w:cstheme="minorHAnsi"/>
          <w:b/>
          <w:bCs/>
        </w:rPr>
      </w:pPr>
    </w:p>
    <w:p w14:paraId="25CD65A7" w14:textId="77777777" w:rsidR="002C6AF6" w:rsidRPr="00A466DE" w:rsidRDefault="002C6AF6" w:rsidP="00235149">
      <w:pPr>
        <w:spacing w:after="0"/>
        <w:ind w:left="-5"/>
        <w:rPr>
          <w:rFonts w:asciiTheme="minorHAnsi" w:hAnsiTheme="minorHAnsi" w:cstheme="minorHAnsi"/>
        </w:rPr>
      </w:pPr>
    </w:p>
    <w:p w14:paraId="33EEC5E8" w14:textId="264536E0" w:rsidR="00660E1F" w:rsidRPr="002C6AF6" w:rsidRDefault="009D6597" w:rsidP="00660E1F">
      <w:pPr>
        <w:pStyle w:val="Heading1"/>
        <w:ind w:left="-5"/>
        <w:rPr>
          <w:rFonts w:asciiTheme="minorHAnsi" w:hAnsiTheme="minorHAnsi" w:cstheme="minorHAnsi"/>
        </w:rPr>
      </w:pPr>
      <w:r w:rsidRPr="002C6AF6">
        <w:rPr>
          <w:rFonts w:asciiTheme="minorHAnsi" w:hAnsiTheme="minorHAnsi" w:cstheme="minorHAnsi"/>
        </w:rPr>
        <w:t xml:space="preserve">Improving our carbon management in </w:t>
      </w:r>
      <w:r w:rsidR="005B4EBB" w:rsidRPr="002C6AF6">
        <w:rPr>
          <w:rFonts w:asciiTheme="minorHAnsi" w:hAnsiTheme="minorHAnsi" w:cstheme="minorHAnsi"/>
        </w:rPr>
        <w:t>20</w:t>
      </w:r>
      <w:r w:rsidR="00207BF4" w:rsidRPr="002C6AF6">
        <w:rPr>
          <w:rFonts w:asciiTheme="minorHAnsi" w:hAnsiTheme="minorHAnsi" w:cstheme="minorHAnsi"/>
        </w:rPr>
        <w:t>2</w:t>
      </w:r>
      <w:r w:rsidR="0081029B">
        <w:rPr>
          <w:rFonts w:asciiTheme="minorHAnsi" w:hAnsiTheme="minorHAnsi" w:cstheme="minorHAnsi"/>
        </w:rPr>
        <w:t>2</w:t>
      </w:r>
      <w:r w:rsidR="00207BF4" w:rsidRPr="002C6AF6">
        <w:rPr>
          <w:rFonts w:asciiTheme="minorHAnsi" w:hAnsiTheme="minorHAnsi" w:cstheme="minorHAnsi"/>
        </w:rPr>
        <w:t>-2</w:t>
      </w:r>
      <w:r w:rsidR="0081029B">
        <w:rPr>
          <w:rFonts w:asciiTheme="minorHAnsi" w:hAnsiTheme="minorHAnsi" w:cstheme="minorHAnsi"/>
        </w:rPr>
        <w:t>3</w:t>
      </w:r>
      <w:r w:rsidRPr="002C6AF6">
        <w:rPr>
          <w:rFonts w:asciiTheme="minorHAnsi" w:hAnsiTheme="minorHAnsi" w:cstheme="minorHAnsi"/>
        </w:rPr>
        <w:t xml:space="preserve"> </w:t>
      </w:r>
    </w:p>
    <w:p w14:paraId="270F9913" w14:textId="019836E7" w:rsidR="00FC10E4" w:rsidRPr="00660E1F" w:rsidRDefault="00BE5422" w:rsidP="1142F6F9">
      <w:pPr>
        <w:pStyle w:val="Heading1"/>
        <w:ind w:left="-5"/>
        <w:rPr>
          <w:rFonts w:asciiTheme="minorHAnsi" w:hAnsiTheme="minorHAnsi" w:cstheme="minorBidi"/>
          <w:b w:val="0"/>
        </w:rPr>
      </w:pPr>
      <w:r w:rsidRPr="00295AE0">
        <w:rPr>
          <w:rFonts w:asciiTheme="minorHAnsi" w:hAnsiTheme="minorHAnsi" w:cstheme="minorBidi"/>
          <w:b w:val="0"/>
        </w:rPr>
        <w:t>We will continue to</w:t>
      </w:r>
      <w:r w:rsidR="006C7A4E" w:rsidRPr="00295AE0">
        <w:rPr>
          <w:rFonts w:asciiTheme="minorHAnsi" w:hAnsiTheme="minorHAnsi" w:cstheme="minorBidi"/>
          <w:b w:val="0"/>
        </w:rPr>
        <w:t xml:space="preserve"> hold meetings and events on-line </w:t>
      </w:r>
      <w:r w:rsidR="006A5E94" w:rsidRPr="00295AE0">
        <w:rPr>
          <w:rFonts w:asciiTheme="minorHAnsi" w:hAnsiTheme="minorHAnsi" w:cstheme="minorBidi"/>
          <w:b w:val="0"/>
        </w:rPr>
        <w:t>whenever po</w:t>
      </w:r>
      <w:r w:rsidR="00C32B77" w:rsidRPr="00295AE0">
        <w:rPr>
          <w:rFonts w:asciiTheme="minorHAnsi" w:hAnsiTheme="minorHAnsi" w:cstheme="minorBidi"/>
          <w:b w:val="0"/>
        </w:rPr>
        <w:t>s</w:t>
      </w:r>
      <w:r w:rsidR="006A5E94" w:rsidRPr="00295AE0">
        <w:rPr>
          <w:rFonts w:asciiTheme="minorHAnsi" w:hAnsiTheme="minorHAnsi" w:cstheme="minorBidi"/>
          <w:b w:val="0"/>
        </w:rPr>
        <w:t xml:space="preserve">sible as this increases </w:t>
      </w:r>
      <w:r w:rsidR="008C59C7" w:rsidRPr="00295AE0">
        <w:rPr>
          <w:rFonts w:asciiTheme="minorHAnsi" w:hAnsiTheme="minorHAnsi" w:cstheme="minorBidi"/>
          <w:b w:val="0"/>
        </w:rPr>
        <w:t>accessibility</w:t>
      </w:r>
      <w:r w:rsidR="006A5E94" w:rsidRPr="00295AE0">
        <w:rPr>
          <w:rFonts w:asciiTheme="minorHAnsi" w:hAnsiTheme="minorHAnsi" w:cstheme="minorBidi"/>
          <w:b w:val="0"/>
        </w:rPr>
        <w:t xml:space="preserve"> fo</w:t>
      </w:r>
      <w:r w:rsidR="008C59C7" w:rsidRPr="00295AE0">
        <w:rPr>
          <w:rFonts w:asciiTheme="minorHAnsi" w:hAnsiTheme="minorHAnsi" w:cstheme="minorBidi"/>
          <w:b w:val="0"/>
        </w:rPr>
        <w:t>r</w:t>
      </w:r>
      <w:r w:rsidR="006A5E94" w:rsidRPr="00295AE0">
        <w:rPr>
          <w:rFonts w:asciiTheme="minorHAnsi" w:hAnsiTheme="minorHAnsi" w:cstheme="minorBidi"/>
          <w:b w:val="0"/>
        </w:rPr>
        <w:t xml:space="preserve"> </w:t>
      </w:r>
      <w:proofErr w:type="spellStart"/>
      <w:r w:rsidR="006A5E94" w:rsidRPr="00295AE0">
        <w:rPr>
          <w:rFonts w:asciiTheme="minorHAnsi" w:hAnsiTheme="minorHAnsi" w:cstheme="minorBidi"/>
          <w:b w:val="0"/>
        </w:rPr>
        <w:t>mnay</w:t>
      </w:r>
      <w:proofErr w:type="spellEnd"/>
      <w:r w:rsidR="006A5E94" w:rsidRPr="00295AE0">
        <w:rPr>
          <w:rFonts w:asciiTheme="minorHAnsi" w:hAnsiTheme="minorHAnsi" w:cstheme="minorBidi"/>
          <w:b w:val="0"/>
        </w:rPr>
        <w:t xml:space="preserve"> </w:t>
      </w:r>
      <w:r w:rsidR="008C59C7" w:rsidRPr="00295AE0">
        <w:rPr>
          <w:rFonts w:asciiTheme="minorHAnsi" w:hAnsiTheme="minorHAnsi" w:cstheme="minorBidi"/>
          <w:b w:val="0"/>
        </w:rPr>
        <w:t>members</w:t>
      </w:r>
      <w:r w:rsidR="00C32B77" w:rsidRPr="00295AE0">
        <w:rPr>
          <w:rFonts w:asciiTheme="minorHAnsi" w:hAnsiTheme="minorHAnsi" w:cstheme="minorBidi"/>
          <w:b w:val="0"/>
        </w:rPr>
        <w:t xml:space="preserve"> and has been shown to be highly successful since 2020</w:t>
      </w:r>
      <w:r w:rsidR="006A5E94" w:rsidRPr="00295AE0">
        <w:rPr>
          <w:rFonts w:asciiTheme="minorHAnsi" w:hAnsiTheme="minorHAnsi" w:cstheme="minorBidi"/>
          <w:b w:val="0"/>
        </w:rPr>
        <w:t xml:space="preserve">. Face to </w:t>
      </w:r>
      <w:r w:rsidR="008C59C7" w:rsidRPr="00295AE0">
        <w:rPr>
          <w:rFonts w:asciiTheme="minorHAnsi" w:hAnsiTheme="minorHAnsi" w:cstheme="minorBidi"/>
          <w:b w:val="0"/>
        </w:rPr>
        <w:t>face</w:t>
      </w:r>
      <w:r w:rsidR="006A5E94" w:rsidRPr="00295AE0">
        <w:rPr>
          <w:rFonts w:asciiTheme="minorHAnsi" w:hAnsiTheme="minorHAnsi" w:cstheme="minorBidi"/>
          <w:b w:val="0"/>
        </w:rPr>
        <w:t xml:space="preserve"> events </w:t>
      </w:r>
      <w:proofErr w:type="gramStart"/>
      <w:r w:rsidR="006A5E94" w:rsidRPr="00295AE0">
        <w:rPr>
          <w:rFonts w:asciiTheme="minorHAnsi" w:hAnsiTheme="minorHAnsi" w:cstheme="minorBidi"/>
          <w:b w:val="0"/>
        </w:rPr>
        <w:t>are</w:t>
      </w:r>
      <w:proofErr w:type="gramEnd"/>
      <w:r w:rsidR="00C32B77" w:rsidRPr="00295AE0">
        <w:rPr>
          <w:rFonts w:asciiTheme="minorHAnsi" w:hAnsiTheme="minorHAnsi" w:cstheme="minorBidi"/>
          <w:b w:val="0"/>
        </w:rPr>
        <w:t xml:space="preserve"> now</w:t>
      </w:r>
      <w:r w:rsidR="006A5E94" w:rsidRPr="00295AE0">
        <w:rPr>
          <w:rFonts w:asciiTheme="minorHAnsi" w:hAnsiTheme="minorHAnsi" w:cstheme="minorBidi"/>
          <w:b w:val="0"/>
        </w:rPr>
        <w:t xml:space="preserve"> limited to those where </w:t>
      </w:r>
      <w:r w:rsidR="008C59C7" w:rsidRPr="00295AE0">
        <w:rPr>
          <w:rFonts w:asciiTheme="minorHAnsi" w:hAnsiTheme="minorHAnsi" w:cstheme="minorBidi"/>
          <w:b w:val="0"/>
        </w:rPr>
        <w:t>networking</w:t>
      </w:r>
      <w:r w:rsidR="006A5E94" w:rsidRPr="00295AE0">
        <w:rPr>
          <w:rFonts w:asciiTheme="minorHAnsi" w:hAnsiTheme="minorHAnsi" w:cstheme="minorBidi"/>
          <w:b w:val="0"/>
        </w:rPr>
        <w:t xml:space="preserve"> is an </w:t>
      </w:r>
      <w:r w:rsidR="008C59C7" w:rsidRPr="00295AE0">
        <w:rPr>
          <w:rFonts w:asciiTheme="minorHAnsi" w:hAnsiTheme="minorHAnsi" w:cstheme="minorBidi"/>
          <w:b w:val="0"/>
        </w:rPr>
        <w:t>integral</w:t>
      </w:r>
      <w:r w:rsidR="006A5E94" w:rsidRPr="00295AE0">
        <w:rPr>
          <w:rFonts w:asciiTheme="minorHAnsi" w:hAnsiTheme="minorHAnsi" w:cstheme="minorBidi"/>
          <w:b w:val="0"/>
        </w:rPr>
        <w:t xml:space="preserve"> objectives. </w:t>
      </w:r>
      <w:r w:rsidR="00660E1F" w:rsidRPr="00295AE0">
        <w:rPr>
          <w:rFonts w:asciiTheme="minorHAnsi" w:hAnsiTheme="minorHAnsi" w:cstheme="minorBidi"/>
          <w:b w:val="0"/>
        </w:rPr>
        <w:t>LINK continue</w:t>
      </w:r>
      <w:r w:rsidR="00C32B77" w:rsidRPr="00295AE0">
        <w:rPr>
          <w:rFonts w:asciiTheme="minorHAnsi" w:hAnsiTheme="minorHAnsi" w:cstheme="minorBidi"/>
          <w:b w:val="0"/>
        </w:rPr>
        <w:t>s</w:t>
      </w:r>
      <w:r w:rsidR="00660E1F" w:rsidRPr="00295AE0">
        <w:rPr>
          <w:rFonts w:asciiTheme="minorHAnsi" w:hAnsiTheme="minorHAnsi" w:cstheme="minorBidi"/>
          <w:b w:val="0"/>
        </w:rPr>
        <w:t xml:space="preserve"> to offer all staff </w:t>
      </w:r>
      <w:r w:rsidR="00C32B77" w:rsidRPr="00295AE0">
        <w:rPr>
          <w:rFonts w:asciiTheme="minorHAnsi" w:hAnsiTheme="minorHAnsi" w:cstheme="minorBidi"/>
          <w:b w:val="0"/>
        </w:rPr>
        <w:t>flexible working</w:t>
      </w:r>
      <w:r w:rsidR="00295AE0" w:rsidRPr="00295AE0">
        <w:rPr>
          <w:rFonts w:asciiTheme="minorHAnsi" w:hAnsiTheme="minorHAnsi" w:cstheme="minorBidi"/>
          <w:b w:val="0"/>
        </w:rPr>
        <w:t xml:space="preserve">, with home and </w:t>
      </w:r>
      <w:proofErr w:type="gramStart"/>
      <w:r w:rsidR="00295AE0" w:rsidRPr="00295AE0">
        <w:rPr>
          <w:rFonts w:asciiTheme="minorHAnsi" w:hAnsiTheme="minorHAnsi" w:cstheme="minorBidi"/>
          <w:b w:val="0"/>
        </w:rPr>
        <w:t>office based</w:t>
      </w:r>
      <w:proofErr w:type="gramEnd"/>
      <w:r w:rsidR="00295AE0" w:rsidRPr="00295AE0">
        <w:rPr>
          <w:rFonts w:asciiTheme="minorHAnsi" w:hAnsiTheme="minorHAnsi" w:cstheme="minorBidi"/>
          <w:b w:val="0"/>
        </w:rPr>
        <w:t xml:space="preserve"> working in a hybrid model. This </w:t>
      </w:r>
      <w:r w:rsidR="00660E1F" w:rsidRPr="00295AE0">
        <w:rPr>
          <w:rFonts w:asciiTheme="minorHAnsi" w:hAnsiTheme="minorHAnsi" w:cstheme="minorBidi"/>
          <w:b w:val="0"/>
        </w:rPr>
        <w:t>aid</w:t>
      </w:r>
      <w:r w:rsidR="00295AE0" w:rsidRPr="00295AE0">
        <w:rPr>
          <w:rFonts w:asciiTheme="minorHAnsi" w:hAnsiTheme="minorHAnsi" w:cstheme="minorBidi"/>
          <w:b w:val="0"/>
        </w:rPr>
        <w:t>s</w:t>
      </w:r>
      <w:r w:rsidR="00660E1F" w:rsidRPr="00295AE0">
        <w:rPr>
          <w:rFonts w:asciiTheme="minorHAnsi" w:hAnsiTheme="minorHAnsi" w:cstheme="minorBidi"/>
          <w:b w:val="0"/>
        </w:rPr>
        <w:t xml:space="preserve"> work/life </w:t>
      </w:r>
      <w:r w:rsidR="00A0589F" w:rsidRPr="00295AE0">
        <w:rPr>
          <w:rFonts w:asciiTheme="minorHAnsi" w:hAnsiTheme="minorHAnsi" w:cstheme="minorBidi"/>
          <w:b w:val="0"/>
        </w:rPr>
        <w:t>balance</w:t>
      </w:r>
      <w:r w:rsidR="00660E1F" w:rsidRPr="00295AE0">
        <w:rPr>
          <w:rFonts w:asciiTheme="minorHAnsi" w:hAnsiTheme="minorHAnsi" w:cstheme="minorBidi"/>
          <w:b w:val="0"/>
        </w:rPr>
        <w:t xml:space="preserve"> and reduce</w:t>
      </w:r>
      <w:r w:rsidR="00295AE0" w:rsidRPr="00295AE0">
        <w:rPr>
          <w:rFonts w:asciiTheme="minorHAnsi" w:hAnsiTheme="minorHAnsi" w:cstheme="minorBidi"/>
          <w:b w:val="0"/>
        </w:rPr>
        <w:t>s</w:t>
      </w:r>
      <w:r w:rsidR="00660E1F" w:rsidRPr="00295AE0">
        <w:rPr>
          <w:rFonts w:asciiTheme="minorHAnsi" w:hAnsiTheme="minorHAnsi" w:cstheme="minorBidi"/>
          <w:b w:val="0"/>
        </w:rPr>
        <w:t xml:space="preserve"> carbon emissions from commuting.</w:t>
      </w:r>
    </w:p>
    <w:p w14:paraId="16FEB40E" w14:textId="481F916E" w:rsidR="00FE6072" w:rsidRDefault="00FE6072" w:rsidP="004A5441">
      <w:pPr>
        <w:pStyle w:val="Heading1"/>
        <w:spacing w:after="0"/>
        <w:ind w:left="-5"/>
        <w:rPr>
          <w:rFonts w:asciiTheme="minorHAnsi" w:hAnsiTheme="minorHAnsi" w:cstheme="minorHAnsi"/>
        </w:rPr>
      </w:pPr>
    </w:p>
    <w:p w14:paraId="650046C0" w14:textId="77777777" w:rsidR="0043141F" w:rsidRDefault="0043141F" w:rsidP="004A5441">
      <w:pPr>
        <w:pStyle w:val="Heading1"/>
        <w:spacing w:after="0"/>
        <w:ind w:left="-5"/>
        <w:rPr>
          <w:rFonts w:asciiTheme="minorHAnsi" w:hAnsiTheme="minorHAnsi" w:cstheme="minorHAnsi"/>
        </w:rPr>
      </w:pPr>
    </w:p>
    <w:p w14:paraId="5EABF0C9" w14:textId="77777777" w:rsidR="00A7458B" w:rsidRDefault="00A7458B" w:rsidP="00A7458B"/>
    <w:p w14:paraId="34B17914" w14:textId="1333EC72" w:rsidR="00A7458B" w:rsidRPr="00B266CD" w:rsidRDefault="00A7458B" w:rsidP="00A7458B">
      <w:pPr>
        <w:jc w:val="right"/>
        <w:rPr>
          <w:sz w:val="20"/>
          <w:szCs w:val="20"/>
        </w:rPr>
      </w:pPr>
      <w:r w:rsidRPr="00B266CD">
        <w:rPr>
          <w:sz w:val="20"/>
          <w:szCs w:val="20"/>
        </w:rPr>
        <w:t>Tanyara Matore</w:t>
      </w:r>
    </w:p>
    <w:p w14:paraId="5F2F3F4C" w14:textId="38C4F9C9" w:rsidR="00A7458B" w:rsidRPr="00B266CD" w:rsidRDefault="00B266CD" w:rsidP="00A7458B">
      <w:pPr>
        <w:jc w:val="right"/>
        <w:rPr>
          <w:sz w:val="20"/>
          <w:szCs w:val="20"/>
        </w:rPr>
      </w:pPr>
      <w:r w:rsidRPr="00B266CD">
        <w:rPr>
          <w:sz w:val="20"/>
          <w:szCs w:val="20"/>
        </w:rPr>
        <w:t>11 July 2022</w:t>
      </w:r>
    </w:p>
    <w:p w14:paraId="62E93E34" w14:textId="77777777" w:rsidR="0043141F" w:rsidRPr="00B266CD" w:rsidRDefault="0043141F" w:rsidP="00A7458B">
      <w:pPr>
        <w:pStyle w:val="Heading1"/>
        <w:spacing w:after="0"/>
        <w:ind w:left="-5"/>
        <w:jc w:val="right"/>
        <w:rPr>
          <w:rFonts w:asciiTheme="minorHAnsi" w:hAnsiTheme="minorHAnsi" w:cstheme="minorHAnsi"/>
          <w:sz w:val="20"/>
          <w:szCs w:val="20"/>
        </w:rPr>
      </w:pPr>
    </w:p>
    <w:sectPr w:rsidR="0043141F" w:rsidRPr="00B266CD">
      <w:footerReference w:type="even" r:id="rId28"/>
      <w:footerReference w:type="default" r:id="rId29"/>
      <w:footerReference w:type="first" r:id="rId30"/>
      <w:pgSz w:w="11906" w:h="16838"/>
      <w:pgMar w:top="1001" w:right="779" w:bottom="1248" w:left="720" w:header="720"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nyara Matore" w:date="2022-07-07T13:41:00Z" w:initials="TM">
    <w:p w14:paraId="6A059BC9" w14:textId="77777777" w:rsidR="008E3B92" w:rsidRDefault="00832C84" w:rsidP="00B73B34">
      <w:pPr>
        <w:pStyle w:val="CommentText"/>
      </w:pPr>
      <w:r>
        <w:rPr>
          <w:rStyle w:val="CommentReference"/>
        </w:rPr>
        <w:annotationRef/>
      </w:r>
      <w:r w:rsidR="008E3B92">
        <w:t>I have included 10 yrs of data as 13 columns looked untidy. I added link re: where to find other reports.</w:t>
      </w:r>
    </w:p>
  </w:comment>
  <w:comment w:id="1" w:author="Tanyara Matore" w:date="2022-07-07T23:38:00Z" w:initials="TM">
    <w:p w14:paraId="4BB022E4" w14:textId="77020DF8" w:rsidR="0040447F" w:rsidRDefault="005A51AD" w:rsidP="00682619">
      <w:pPr>
        <w:pStyle w:val="CommentText"/>
      </w:pPr>
      <w:r>
        <w:rPr>
          <w:rStyle w:val="CommentReference"/>
        </w:rPr>
        <w:annotationRef/>
      </w:r>
      <w:r w:rsidR="0040447F">
        <w:t xml:space="preserve"> longwinded paragraph - can we add as a reference at end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9BC9" w15:done="1"/>
  <w15:commentEx w15:paraId="4BB022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6114" w16cex:dateUtc="2022-07-07T12:41:00Z"/>
  <w16cex:commentExtensible w16cex:durableId="2671ECEE" w16cex:dateUtc="2022-07-07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9BC9" w16cid:durableId="26716114"/>
  <w16cid:commentId w16cid:paraId="4BB022E4" w16cid:durableId="2671E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CED6" w14:textId="77777777" w:rsidR="00AC5E5F" w:rsidRDefault="00AC5E5F">
      <w:pPr>
        <w:spacing w:after="0" w:line="240" w:lineRule="auto"/>
      </w:pPr>
      <w:r>
        <w:separator/>
      </w:r>
    </w:p>
  </w:endnote>
  <w:endnote w:type="continuationSeparator" w:id="0">
    <w:p w14:paraId="03B342B1" w14:textId="77777777" w:rsidR="00AC5E5F" w:rsidRDefault="00AC5E5F">
      <w:pPr>
        <w:spacing w:after="0" w:line="240" w:lineRule="auto"/>
      </w:pPr>
      <w:r>
        <w:continuationSeparator/>
      </w:r>
    </w:p>
  </w:endnote>
  <w:endnote w:type="continuationNotice" w:id="1">
    <w:p w14:paraId="48A9A758" w14:textId="77777777" w:rsidR="00AC5E5F" w:rsidRDefault="00AC5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FFE" w14:textId="77777777" w:rsidR="00E7700C" w:rsidRDefault="00E7700C">
    <w:pPr>
      <w:spacing w:after="0" w:line="259" w:lineRule="auto"/>
      <w:ind w:left="57" w:firstLine="0"/>
      <w:jc w:val="center"/>
    </w:pPr>
    <w:r>
      <w:fldChar w:fldCharType="begin"/>
    </w:r>
    <w:r>
      <w:instrText xml:space="preserve"> PAGE   \* MERGEFORMAT </w:instrText>
    </w:r>
    <w:r>
      <w:fldChar w:fldCharType="separate"/>
    </w:r>
    <w:r>
      <w:t>1</w:t>
    </w:r>
    <w:r>
      <w:fldChar w:fldCharType="end"/>
    </w:r>
    <w:r>
      <w:t xml:space="preserve"> </w:t>
    </w:r>
  </w:p>
  <w:p w14:paraId="4AF14889" w14:textId="77777777" w:rsidR="00E7700C" w:rsidRDefault="00E7700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C5A1" w14:textId="6C027C82" w:rsidR="00E7700C" w:rsidRDefault="00E7700C">
    <w:pPr>
      <w:spacing w:after="0" w:line="259" w:lineRule="auto"/>
      <w:ind w:left="57" w:firstLine="0"/>
      <w:jc w:val="center"/>
    </w:pPr>
    <w:r>
      <w:fldChar w:fldCharType="begin"/>
    </w:r>
    <w:r>
      <w:instrText xml:space="preserve"> PAGE   \* MERGEFORMAT </w:instrText>
    </w:r>
    <w:r>
      <w:fldChar w:fldCharType="separate"/>
    </w:r>
    <w:r w:rsidR="00F866C4">
      <w:rPr>
        <w:noProof/>
      </w:rPr>
      <w:t>4</w:t>
    </w:r>
    <w:r>
      <w:fldChar w:fldCharType="end"/>
    </w:r>
    <w:r>
      <w:t xml:space="preserve"> </w:t>
    </w:r>
  </w:p>
  <w:p w14:paraId="7A236F60" w14:textId="77777777" w:rsidR="00E7700C" w:rsidRDefault="00E7700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ACAF" w14:textId="77777777" w:rsidR="00E7700C" w:rsidRDefault="00E7700C">
    <w:pPr>
      <w:spacing w:after="0" w:line="259" w:lineRule="auto"/>
      <w:ind w:left="57" w:firstLine="0"/>
      <w:jc w:val="center"/>
    </w:pPr>
    <w:r>
      <w:fldChar w:fldCharType="begin"/>
    </w:r>
    <w:r>
      <w:instrText xml:space="preserve"> PAGE   \* MERGEFORMAT </w:instrText>
    </w:r>
    <w:r>
      <w:fldChar w:fldCharType="separate"/>
    </w:r>
    <w:r>
      <w:t>1</w:t>
    </w:r>
    <w:r>
      <w:fldChar w:fldCharType="end"/>
    </w:r>
    <w:r>
      <w:t xml:space="preserve"> </w:t>
    </w:r>
  </w:p>
  <w:p w14:paraId="75C6987A" w14:textId="77777777" w:rsidR="00E7700C" w:rsidRDefault="00E7700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D063" w14:textId="77777777" w:rsidR="00AC5E5F" w:rsidRDefault="00AC5E5F">
      <w:pPr>
        <w:spacing w:after="0" w:line="240" w:lineRule="auto"/>
      </w:pPr>
      <w:r>
        <w:separator/>
      </w:r>
    </w:p>
  </w:footnote>
  <w:footnote w:type="continuationSeparator" w:id="0">
    <w:p w14:paraId="65B51932" w14:textId="77777777" w:rsidR="00AC5E5F" w:rsidRDefault="00AC5E5F">
      <w:pPr>
        <w:spacing w:after="0" w:line="240" w:lineRule="auto"/>
      </w:pPr>
      <w:r>
        <w:continuationSeparator/>
      </w:r>
    </w:p>
  </w:footnote>
  <w:footnote w:type="continuationNotice" w:id="1">
    <w:p w14:paraId="3042A1B4" w14:textId="77777777" w:rsidR="00AC5E5F" w:rsidRDefault="00AC5E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E7D74"/>
    <w:multiLevelType w:val="hybridMultilevel"/>
    <w:tmpl w:val="61068142"/>
    <w:lvl w:ilvl="0" w:tplc="3E301B3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12656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A761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48FDB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8678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E89C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0801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AF62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0E2BD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866840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yara Matore">
    <w15:presenceInfo w15:providerId="AD" w15:userId="S::tanyara@scotlink.org::8b9b1661-1b10-4bee-97fa-dfd32f0fd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3F"/>
    <w:rsid w:val="000014C2"/>
    <w:rsid w:val="00003795"/>
    <w:rsid w:val="00011B99"/>
    <w:rsid w:val="000142EC"/>
    <w:rsid w:val="000143E3"/>
    <w:rsid w:val="0001537C"/>
    <w:rsid w:val="00023FF3"/>
    <w:rsid w:val="0002467F"/>
    <w:rsid w:val="00030663"/>
    <w:rsid w:val="00031FA8"/>
    <w:rsid w:val="00032F40"/>
    <w:rsid w:val="00035603"/>
    <w:rsid w:val="00037AC4"/>
    <w:rsid w:val="00047157"/>
    <w:rsid w:val="000479FA"/>
    <w:rsid w:val="00056788"/>
    <w:rsid w:val="00063389"/>
    <w:rsid w:val="00063FD4"/>
    <w:rsid w:val="0006633A"/>
    <w:rsid w:val="00066459"/>
    <w:rsid w:val="0006722C"/>
    <w:rsid w:val="000718B2"/>
    <w:rsid w:val="000722D4"/>
    <w:rsid w:val="00074186"/>
    <w:rsid w:val="000878E3"/>
    <w:rsid w:val="0009415E"/>
    <w:rsid w:val="0009441E"/>
    <w:rsid w:val="00095CF5"/>
    <w:rsid w:val="00097265"/>
    <w:rsid w:val="000A67A9"/>
    <w:rsid w:val="000B3C57"/>
    <w:rsid w:val="000B6C40"/>
    <w:rsid w:val="000B6EA4"/>
    <w:rsid w:val="000C496E"/>
    <w:rsid w:val="000C7319"/>
    <w:rsid w:val="000D3CE6"/>
    <w:rsid w:val="000D436A"/>
    <w:rsid w:val="000D75F5"/>
    <w:rsid w:val="000F21CB"/>
    <w:rsid w:val="000F2304"/>
    <w:rsid w:val="000F3ECC"/>
    <w:rsid w:val="000F554B"/>
    <w:rsid w:val="00104982"/>
    <w:rsid w:val="00112441"/>
    <w:rsid w:val="00114A74"/>
    <w:rsid w:val="00116D68"/>
    <w:rsid w:val="00122318"/>
    <w:rsid w:val="00127640"/>
    <w:rsid w:val="0013061A"/>
    <w:rsid w:val="0013267D"/>
    <w:rsid w:val="0013391B"/>
    <w:rsid w:val="00135B5F"/>
    <w:rsid w:val="001376AA"/>
    <w:rsid w:val="00137BCE"/>
    <w:rsid w:val="00141320"/>
    <w:rsid w:val="00142328"/>
    <w:rsid w:val="001451F0"/>
    <w:rsid w:val="00152079"/>
    <w:rsid w:val="00154118"/>
    <w:rsid w:val="00154292"/>
    <w:rsid w:val="00156E65"/>
    <w:rsid w:val="001655E0"/>
    <w:rsid w:val="001702B3"/>
    <w:rsid w:val="0017741D"/>
    <w:rsid w:val="00182602"/>
    <w:rsid w:val="0018663D"/>
    <w:rsid w:val="0019032D"/>
    <w:rsid w:val="0019392C"/>
    <w:rsid w:val="00193FBB"/>
    <w:rsid w:val="001A1147"/>
    <w:rsid w:val="001A67E1"/>
    <w:rsid w:val="001B4758"/>
    <w:rsid w:val="001B47B5"/>
    <w:rsid w:val="001B4953"/>
    <w:rsid w:val="001C18ED"/>
    <w:rsid w:val="001C2014"/>
    <w:rsid w:val="001C41FC"/>
    <w:rsid w:val="001C4AE9"/>
    <w:rsid w:val="001D2DFE"/>
    <w:rsid w:val="001D66C2"/>
    <w:rsid w:val="001E0373"/>
    <w:rsid w:val="001E1F4C"/>
    <w:rsid w:val="001F081E"/>
    <w:rsid w:val="0020247F"/>
    <w:rsid w:val="00202CBB"/>
    <w:rsid w:val="002030E6"/>
    <w:rsid w:val="00207BF4"/>
    <w:rsid w:val="00212C04"/>
    <w:rsid w:val="00213822"/>
    <w:rsid w:val="0022056E"/>
    <w:rsid w:val="00225F07"/>
    <w:rsid w:val="00227283"/>
    <w:rsid w:val="00227E2C"/>
    <w:rsid w:val="002343E5"/>
    <w:rsid w:val="00235149"/>
    <w:rsid w:val="0023783E"/>
    <w:rsid w:val="00247ACD"/>
    <w:rsid w:val="00256439"/>
    <w:rsid w:val="00256A49"/>
    <w:rsid w:val="002646CA"/>
    <w:rsid w:val="0026474C"/>
    <w:rsid w:val="00273AAD"/>
    <w:rsid w:val="0027524E"/>
    <w:rsid w:val="00276757"/>
    <w:rsid w:val="00284B81"/>
    <w:rsid w:val="002949A3"/>
    <w:rsid w:val="00295AE0"/>
    <w:rsid w:val="002A32B1"/>
    <w:rsid w:val="002A59B0"/>
    <w:rsid w:val="002A59CE"/>
    <w:rsid w:val="002A72D8"/>
    <w:rsid w:val="002B76F5"/>
    <w:rsid w:val="002C0B2E"/>
    <w:rsid w:val="002C1881"/>
    <w:rsid w:val="002C236F"/>
    <w:rsid w:val="002C4B24"/>
    <w:rsid w:val="002C5BBE"/>
    <w:rsid w:val="002C627F"/>
    <w:rsid w:val="002C6AF6"/>
    <w:rsid w:val="002C7F43"/>
    <w:rsid w:val="002D3A09"/>
    <w:rsid w:val="002D439F"/>
    <w:rsid w:val="002D4A5C"/>
    <w:rsid w:val="002E5331"/>
    <w:rsid w:val="002E614E"/>
    <w:rsid w:val="002E6E4D"/>
    <w:rsid w:val="002F2BBE"/>
    <w:rsid w:val="002F4936"/>
    <w:rsid w:val="002F5714"/>
    <w:rsid w:val="002F6720"/>
    <w:rsid w:val="00303036"/>
    <w:rsid w:val="0030391C"/>
    <w:rsid w:val="00313014"/>
    <w:rsid w:val="003246F7"/>
    <w:rsid w:val="003314F7"/>
    <w:rsid w:val="003337FA"/>
    <w:rsid w:val="0033424F"/>
    <w:rsid w:val="00335FD5"/>
    <w:rsid w:val="00336AB9"/>
    <w:rsid w:val="00340870"/>
    <w:rsid w:val="00350DF8"/>
    <w:rsid w:val="00354DD2"/>
    <w:rsid w:val="00357A64"/>
    <w:rsid w:val="0036267D"/>
    <w:rsid w:val="00366045"/>
    <w:rsid w:val="00372A36"/>
    <w:rsid w:val="003748AE"/>
    <w:rsid w:val="003822AB"/>
    <w:rsid w:val="00386793"/>
    <w:rsid w:val="003906CF"/>
    <w:rsid w:val="00393A78"/>
    <w:rsid w:val="00395B59"/>
    <w:rsid w:val="00397684"/>
    <w:rsid w:val="003A084F"/>
    <w:rsid w:val="003A3CCE"/>
    <w:rsid w:val="003B42C2"/>
    <w:rsid w:val="003B47E4"/>
    <w:rsid w:val="003B59D4"/>
    <w:rsid w:val="003C6CFA"/>
    <w:rsid w:val="003D17B5"/>
    <w:rsid w:val="003D4FB3"/>
    <w:rsid w:val="003D5E4E"/>
    <w:rsid w:val="003E3364"/>
    <w:rsid w:val="003E688B"/>
    <w:rsid w:val="003F0D80"/>
    <w:rsid w:val="00400163"/>
    <w:rsid w:val="0040447F"/>
    <w:rsid w:val="00413ADB"/>
    <w:rsid w:val="00422052"/>
    <w:rsid w:val="00424F8C"/>
    <w:rsid w:val="0043141F"/>
    <w:rsid w:val="00440BF0"/>
    <w:rsid w:val="00453CF4"/>
    <w:rsid w:val="00460F23"/>
    <w:rsid w:val="00464684"/>
    <w:rsid w:val="00465C5E"/>
    <w:rsid w:val="00475CAC"/>
    <w:rsid w:val="00475D86"/>
    <w:rsid w:val="00481EE7"/>
    <w:rsid w:val="00482D54"/>
    <w:rsid w:val="0048725F"/>
    <w:rsid w:val="004909AA"/>
    <w:rsid w:val="00490EE7"/>
    <w:rsid w:val="00491FD2"/>
    <w:rsid w:val="00492727"/>
    <w:rsid w:val="0049308D"/>
    <w:rsid w:val="00494BCE"/>
    <w:rsid w:val="004A5441"/>
    <w:rsid w:val="004B2CCE"/>
    <w:rsid w:val="004B7CFE"/>
    <w:rsid w:val="004C2231"/>
    <w:rsid w:val="004C6A7B"/>
    <w:rsid w:val="004D2DD1"/>
    <w:rsid w:val="004D3B74"/>
    <w:rsid w:val="004D5E29"/>
    <w:rsid w:val="004D79BF"/>
    <w:rsid w:val="004E074E"/>
    <w:rsid w:val="004E1A24"/>
    <w:rsid w:val="004E238E"/>
    <w:rsid w:val="004E2FD6"/>
    <w:rsid w:val="004F11BB"/>
    <w:rsid w:val="004F38F3"/>
    <w:rsid w:val="004F6AA4"/>
    <w:rsid w:val="00501B4A"/>
    <w:rsid w:val="00503C6D"/>
    <w:rsid w:val="005070DA"/>
    <w:rsid w:val="005072C5"/>
    <w:rsid w:val="0051618B"/>
    <w:rsid w:val="0051681D"/>
    <w:rsid w:val="005173C2"/>
    <w:rsid w:val="005206BE"/>
    <w:rsid w:val="00521D8A"/>
    <w:rsid w:val="005221F4"/>
    <w:rsid w:val="00524DDA"/>
    <w:rsid w:val="005255D1"/>
    <w:rsid w:val="0052592E"/>
    <w:rsid w:val="0053613F"/>
    <w:rsid w:val="00541028"/>
    <w:rsid w:val="00542E39"/>
    <w:rsid w:val="00543DF5"/>
    <w:rsid w:val="00550B33"/>
    <w:rsid w:val="00551899"/>
    <w:rsid w:val="005571EA"/>
    <w:rsid w:val="005606CD"/>
    <w:rsid w:val="00562E8E"/>
    <w:rsid w:val="005659F2"/>
    <w:rsid w:val="00571836"/>
    <w:rsid w:val="00582198"/>
    <w:rsid w:val="00593317"/>
    <w:rsid w:val="005943A1"/>
    <w:rsid w:val="00596A72"/>
    <w:rsid w:val="005A0013"/>
    <w:rsid w:val="005A0D32"/>
    <w:rsid w:val="005A2111"/>
    <w:rsid w:val="005A51AD"/>
    <w:rsid w:val="005B12D3"/>
    <w:rsid w:val="005B4EBB"/>
    <w:rsid w:val="005C1D57"/>
    <w:rsid w:val="005C31D4"/>
    <w:rsid w:val="005C331C"/>
    <w:rsid w:val="005C511A"/>
    <w:rsid w:val="005D3FB7"/>
    <w:rsid w:val="005D549A"/>
    <w:rsid w:val="005D6573"/>
    <w:rsid w:val="005E0CA6"/>
    <w:rsid w:val="005E1147"/>
    <w:rsid w:val="005E387B"/>
    <w:rsid w:val="005F0E0E"/>
    <w:rsid w:val="005F1E1C"/>
    <w:rsid w:val="005F444C"/>
    <w:rsid w:val="005F446D"/>
    <w:rsid w:val="005F680B"/>
    <w:rsid w:val="00601903"/>
    <w:rsid w:val="00605187"/>
    <w:rsid w:val="00606236"/>
    <w:rsid w:val="00612C5B"/>
    <w:rsid w:val="0062401E"/>
    <w:rsid w:val="006241BA"/>
    <w:rsid w:val="00625B4C"/>
    <w:rsid w:val="00627BB7"/>
    <w:rsid w:val="006303CC"/>
    <w:rsid w:val="00631B8C"/>
    <w:rsid w:val="0063252D"/>
    <w:rsid w:val="00632A85"/>
    <w:rsid w:val="00634872"/>
    <w:rsid w:val="00635D5E"/>
    <w:rsid w:val="00636364"/>
    <w:rsid w:val="00636F83"/>
    <w:rsid w:val="006400BD"/>
    <w:rsid w:val="00646612"/>
    <w:rsid w:val="00651433"/>
    <w:rsid w:val="00651551"/>
    <w:rsid w:val="00654530"/>
    <w:rsid w:val="00660E1F"/>
    <w:rsid w:val="006614D5"/>
    <w:rsid w:val="00663302"/>
    <w:rsid w:val="00664326"/>
    <w:rsid w:val="00665593"/>
    <w:rsid w:val="00665781"/>
    <w:rsid w:val="00673241"/>
    <w:rsid w:val="00673243"/>
    <w:rsid w:val="00673B5E"/>
    <w:rsid w:val="00673F7E"/>
    <w:rsid w:val="00681481"/>
    <w:rsid w:val="00682C20"/>
    <w:rsid w:val="00686126"/>
    <w:rsid w:val="00686A48"/>
    <w:rsid w:val="006915F2"/>
    <w:rsid w:val="00691DF1"/>
    <w:rsid w:val="00696328"/>
    <w:rsid w:val="006A0611"/>
    <w:rsid w:val="006A17BE"/>
    <w:rsid w:val="006A3A94"/>
    <w:rsid w:val="006A5E94"/>
    <w:rsid w:val="006A7BDA"/>
    <w:rsid w:val="006A7F66"/>
    <w:rsid w:val="006B2B99"/>
    <w:rsid w:val="006B34D0"/>
    <w:rsid w:val="006B48EF"/>
    <w:rsid w:val="006B5323"/>
    <w:rsid w:val="006B6D6E"/>
    <w:rsid w:val="006C31B6"/>
    <w:rsid w:val="006C7A4E"/>
    <w:rsid w:val="006D2124"/>
    <w:rsid w:val="006E1EC9"/>
    <w:rsid w:val="006E7F61"/>
    <w:rsid w:val="007008FF"/>
    <w:rsid w:val="00702263"/>
    <w:rsid w:val="00706557"/>
    <w:rsid w:val="00710DE5"/>
    <w:rsid w:val="00711B42"/>
    <w:rsid w:val="00712018"/>
    <w:rsid w:val="007135DA"/>
    <w:rsid w:val="0072028D"/>
    <w:rsid w:val="00720B27"/>
    <w:rsid w:val="00722657"/>
    <w:rsid w:val="00722B4E"/>
    <w:rsid w:val="00726CB2"/>
    <w:rsid w:val="00741BC3"/>
    <w:rsid w:val="007435FB"/>
    <w:rsid w:val="0074487C"/>
    <w:rsid w:val="007469B1"/>
    <w:rsid w:val="00751956"/>
    <w:rsid w:val="00757606"/>
    <w:rsid w:val="007601B1"/>
    <w:rsid w:val="007636D0"/>
    <w:rsid w:val="00763AFF"/>
    <w:rsid w:val="00764F0C"/>
    <w:rsid w:val="00771EC3"/>
    <w:rsid w:val="00773FED"/>
    <w:rsid w:val="007771D0"/>
    <w:rsid w:val="00784187"/>
    <w:rsid w:val="00785F0E"/>
    <w:rsid w:val="007879F6"/>
    <w:rsid w:val="007907D9"/>
    <w:rsid w:val="007911CC"/>
    <w:rsid w:val="00791DA6"/>
    <w:rsid w:val="00794009"/>
    <w:rsid w:val="007971C5"/>
    <w:rsid w:val="007A2090"/>
    <w:rsid w:val="007B0887"/>
    <w:rsid w:val="007B3F34"/>
    <w:rsid w:val="007B3F67"/>
    <w:rsid w:val="007B43B5"/>
    <w:rsid w:val="007C2096"/>
    <w:rsid w:val="007C3CF4"/>
    <w:rsid w:val="007D140D"/>
    <w:rsid w:val="007D4625"/>
    <w:rsid w:val="007E0A27"/>
    <w:rsid w:val="007F2363"/>
    <w:rsid w:val="0080515E"/>
    <w:rsid w:val="00807670"/>
    <w:rsid w:val="0081029B"/>
    <w:rsid w:val="00814BA0"/>
    <w:rsid w:val="00820134"/>
    <w:rsid w:val="00820D25"/>
    <w:rsid w:val="00832C84"/>
    <w:rsid w:val="00847956"/>
    <w:rsid w:val="00847CDA"/>
    <w:rsid w:val="0085165B"/>
    <w:rsid w:val="0085222F"/>
    <w:rsid w:val="00856465"/>
    <w:rsid w:val="00856767"/>
    <w:rsid w:val="00860B7B"/>
    <w:rsid w:val="00864BF3"/>
    <w:rsid w:val="00870A25"/>
    <w:rsid w:val="00871D00"/>
    <w:rsid w:val="00880A76"/>
    <w:rsid w:val="00883B78"/>
    <w:rsid w:val="00883C24"/>
    <w:rsid w:val="00885593"/>
    <w:rsid w:val="00887407"/>
    <w:rsid w:val="008A05D8"/>
    <w:rsid w:val="008A114A"/>
    <w:rsid w:val="008A6CE4"/>
    <w:rsid w:val="008B6693"/>
    <w:rsid w:val="008C1DD1"/>
    <w:rsid w:val="008C3A5A"/>
    <w:rsid w:val="008C40F1"/>
    <w:rsid w:val="008C59C7"/>
    <w:rsid w:val="008C6F57"/>
    <w:rsid w:val="008D0C11"/>
    <w:rsid w:val="008E0D07"/>
    <w:rsid w:val="008E2EF9"/>
    <w:rsid w:val="008E3B92"/>
    <w:rsid w:val="008E4439"/>
    <w:rsid w:val="008E501D"/>
    <w:rsid w:val="008F1895"/>
    <w:rsid w:val="008F1DEF"/>
    <w:rsid w:val="008F6119"/>
    <w:rsid w:val="00904EC4"/>
    <w:rsid w:val="00910535"/>
    <w:rsid w:val="009120B8"/>
    <w:rsid w:val="00916D9F"/>
    <w:rsid w:val="009206A7"/>
    <w:rsid w:val="00920CAA"/>
    <w:rsid w:val="00922937"/>
    <w:rsid w:val="00925888"/>
    <w:rsid w:val="0093094D"/>
    <w:rsid w:val="00930F68"/>
    <w:rsid w:val="009323B6"/>
    <w:rsid w:val="00936A8A"/>
    <w:rsid w:val="00943386"/>
    <w:rsid w:val="00947BBF"/>
    <w:rsid w:val="00950422"/>
    <w:rsid w:val="0095343B"/>
    <w:rsid w:val="00953879"/>
    <w:rsid w:val="00953DFB"/>
    <w:rsid w:val="00955DA8"/>
    <w:rsid w:val="00962ACC"/>
    <w:rsid w:val="00967715"/>
    <w:rsid w:val="00972C56"/>
    <w:rsid w:val="0097387A"/>
    <w:rsid w:val="00975816"/>
    <w:rsid w:val="0097589A"/>
    <w:rsid w:val="009765C4"/>
    <w:rsid w:val="00976C22"/>
    <w:rsid w:val="0098135E"/>
    <w:rsid w:val="00984BA0"/>
    <w:rsid w:val="009854F0"/>
    <w:rsid w:val="0098564F"/>
    <w:rsid w:val="00993EF6"/>
    <w:rsid w:val="00997527"/>
    <w:rsid w:val="009A0692"/>
    <w:rsid w:val="009A5903"/>
    <w:rsid w:val="009A59DA"/>
    <w:rsid w:val="009B1FD8"/>
    <w:rsid w:val="009B2840"/>
    <w:rsid w:val="009B6CA1"/>
    <w:rsid w:val="009C0642"/>
    <w:rsid w:val="009C351B"/>
    <w:rsid w:val="009C3ED4"/>
    <w:rsid w:val="009C59F7"/>
    <w:rsid w:val="009D0715"/>
    <w:rsid w:val="009D2739"/>
    <w:rsid w:val="009D3BF0"/>
    <w:rsid w:val="009D5B6E"/>
    <w:rsid w:val="009D6597"/>
    <w:rsid w:val="009D68FC"/>
    <w:rsid w:val="009D69B8"/>
    <w:rsid w:val="009E31A9"/>
    <w:rsid w:val="009E365D"/>
    <w:rsid w:val="009E3D30"/>
    <w:rsid w:val="00A0023C"/>
    <w:rsid w:val="00A018A3"/>
    <w:rsid w:val="00A026FF"/>
    <w:rsid w:val="00A030B2"/>
    <w:rsid w:val="00A039FF"/>
    <w:rsid w:val="00A0589F"/>
    <w:rsid w:val="00A15045"/>
    <w:rsid w:val="00A25B4E"/>
    <w:rsid w:val="00A27AFB"/>
    <w:rsid w:val="00A30BC6"/>
    <w:rsid w:val="00A347AA"/>
    <w:rsid w:val="00A4450F"/>
    <w:rsid w:val="00A4479B"/>
    <w:rsid w:val="00A466DE"/>
    <w:rsid w:val="00A50293"/>
    <w:rsid w:val="00A509E1"/>
    <w:rsid w:val="00A5369E"/>
    <w:rsid w:val="00A56132"/>
    <w:rsid w:val="00A569B3"/>
    <w:rsid w:val="00A57C2C"/>
    <w:rsid w:val="00A639A7"/>
    <w:rsid w:val="00A67C81"/>
    <w:rsid w:val="00A7100A"/>
    <w:rsid w:val="00A7458B"/>
    <w:rsid w:val="00A74EF5"/>
    <w:rsid w:val="00A810D5"/>
    <w:rsid w:val="00A81106"/>
    <w:rsid w:val="00A868A9"/>
    <w:rsid w:val="00A90176"/>
    <w:rsid w:val="00A90995"/>
    <w:rsid w:val="00A975FA"/>
    <w:rsid w:val="00AA3DC1"/>
    <w:rsid w:val="00AB1B46"/>
    <w:rsid w:val="00AB6D13"/>
    <w:rsid w:val="00AC124E"/>
    <w:rsid w:val="00AC5E5F"/>
    <w:rsid w:val="00AC684B"/>
    <w:rsid w:val="00AC690D"/>
    <w:rsid w:val="00AD006E"/>
    <w:rsid w:val="00AD07CA"/>
    <w:rsid w:val="00AD6349"/>
    <w:rsid w:val="00AE11A3"/>
    <w:rsid w:val="00AE244D"/>
    <w:rsid w:val="00AE68CD"/>
    <w:rsid w:val="00AF1D79"/>
    <w:rsid w:val="00AF2D2D"/>
    <w:rsid w:val="00AF7878"/>
    <w:rsid w:val="00B01A1A"/>
    <w:rsid w:val="00B01AC4"/>
    <w:rsid w:val="00B06024"/>
    <w:rsid w:val="00B2108F"/>
    <w:rsid w:val="00B266CD"/>
    <w:rsid w:val="00B274F6"/>
    <w:rsid w:val="00B27AAD"/>
    <w:rsid w:val="00B33A16"/>
    <w:rsid w:val="00B34595"/>
    <w:rsid w:val="00B36FDF"/>
    <w:rsid w:val="00B46F16"/>
    <w:rsid w:val="00B46FF5"/>
    <w:rsid w:val="00B479E7"/>
    <w:rsid w:val="00B73944"/>
    <w:rsid w:val="00B7742C"/>
    <w:rsid w:val="00B77BFF"/>
    <w:rsid w:val="00B84918"/>
    <w:rsid w:val="00B84BB0"/>
    <w:rsid w:val="00B86ACB"/>
    <w:rsid w:val="00B86C89"/>
    <w:rsid w:val="00B91C3A"/>
    <w:rsid w:val="00B92DBF"/>
    <w:rsid w:val="00B93946"/>
    <w:rsid w:val="00B93A0B"/>
    <w:rsid w:val="00B93F37"/>
    <w:rsid w:val="00B940FB"/>
    <w:rsid w:val="00B9481C"/>
    <w:rsid w:val="00BA055A"/>
    <w:rsid w:val="00BA07A5"/>
    <w:rsid w:val="00BA329F"/>
    <w:rsid w:val="00BA455E"/>
    <w:rsid w:val="00BA5395"/>
    <w:rsid w:val="00BB0A4A"/>
    <w:rsid w:val="00BC02B5"/>
    <w:rsid w:val="00BC57D7"/>
    <w:rsid w:val="00BC5D17"/>
    <w:rsid w:val="00BD6C32"/>
    <w:rsid w:val="00BE3016"/>
    <w:rsid w:val="00BE5422"/>
    <w:rsid w:val="00BF0317"/>
    <w:rsid w:val="00BF3C3C"/>
    <w:rsid w:val="00BF7728"/>
    <w:rsid w:val="00C003C9"/>
    <w:rsid w:val="00C01D78"/>
    <w:rsid w:val="00C17683"/>
    <w:rsid w:val="00C2055E"/>
    <w:rsid w:val="00C24553"/>
    <w:rsid w:val="00C32324"/>
    <w:rsid w:val="00C32B77"/>
    <w:rsid w:val="00C32FC1"/>
    <w:rsid w:val="00C34550"/>
    <w:rsid w:val="00C3532C"/>
    <w:rsid w:val="00C3741D"/>
    <w:rsid w:val="00C376F0"/>
    <w:rsid w:val="00C43915"/>
    <w:rsid w:val="00C462A1"/>
    <w:rsid w:val="00C513FF"/>
    <w:rsid w:val="00C543C1"/>
    <w:rsid w:val="00C5574E"/>
    <w:rsid w:val="00C60641"/>
    <w:rsid w:val="00C63CDD"/>
    <w:rsid w:val="00C6458B"/>
    <w:rsid w:val="00C656F6"/>
    <w:rsid w:val="00C66391"/>
    <w:rsid w:val="00C715B0"/>
    <w:rsid w:val="00C720AF"/>
    <w:rsid w:val="00C723B4"/>
    <w:rsid w:val="00C74878"/>
    <w:rsid w:val="00C755A3"/>
    <w:rsid w:val="00C83C7B"/>
    <w:rsid w:val="00C91FF8"/>
    <w:rsid w:val="00C928B1"/>
    <w:rsid w:val="00C93F58"/>
    <w:rsid w:val="00CA3AF9"/>
    <w:rsid w:val="00CA67C1"/>
    <w:rsid w:val="00CA6ACD"/>
    <w:rsid w:val="00CB119D"/>
    <w:rsid w:val="00CB6E5F"/>
    <w:rsid w:val="00CB6ED4"/>
    <w:rsid w:val="00CC262E"/>
    <w:rsid w:val="00CC2BA0"/>
    <w:rsid w:val="00CD0F93"/>
    <w:rsid w:val="00CD1C36"/>
    <w:rsid w:val="00CE7DB7"/>
    <w:rsid w:val="00CF5784"/>
    <w:rsid w:val="00D043D9"/>
    <w:rsid w:val="00D06978"/>
    <w:rsid w:val="00D12139"/>
    <w:rsid w:val="00D217F7"/>
    <w:rsid w:val="00D219A0"/>
    <w:rsid w:val="00D22F99"/>
    <w:rsid w:val="00D24E5E"/>
    <w:rsid w:val="00D25040"/>
    <w:rsid w:val="00D3253B"/>
    <w:rsid w:val="00D3510C"/>
    <w:rsid w:val="00D408DE"/>
    <w:rsid w:val="00D41CB7"/>
    <w:rsid w:val="00D53117"/>
    <w:rsid w:val="00D53F4B"/>
    <w:rsid w:val="00D53FBD"/>
    <w:rsid w:val="00D54503"/>
    <w:rsid w:val="00D56491"/>
    <w:rsid w:val="00D603C5"/>
    <w:rsid w:val="00D63CF0"/>
    <w:rsid w:val="00D647A9"/>
    <w:rsid w:val="00D65C6E"/>
    <w:rsid w:val="00D65F77"/>
    <w:rsid w:val="00D725C7"/>
    <w:rsid w:val="00D7430A"/>
    <w:rsid w:val="00D8111A"/>
    <w:rsid w:val="00D8320C"/>
    <w:rsid w:val="00D867DC"/>
    <w:rsid w:val="00D87AC4"/>
    <w:rsid w:val="00D95E10"/>
    <w:rsid w:val="00D979CD"/>
    <w:rsid w:val="00DA1819"/>
    <w:rsid w:val="00DA1E76"/>
    <w:rsid w:val="00DA24B7"/>
    <w:rsid w:val="00DC079A"/>
    <w:rsid w:val="00DC48F7"/>
    <w:rsid w:val="00DD33B2"/>
    <w:rsid w:val="00DD50A1"/>
    <w:rsid w:val="00DD62AF"/>
    <w:rsid w:val="00DE32BA"/>
    <w:rsid w:val="00DE32DE"/>
    <w:rsid w:val="00DE6277"/>
    <w:rsid w:val="00DF2020"/>
    <w:rsid w:val="00DF4A78"/>
    <w:rsid w:val="00DF7A1E"/>
    <w:rsid w:val="00E05952"/>
    <w:rsid w:val="00E07E69"/>
    <w:rsid w:val="00E13F94"/>
    <w:rsid w:val="00E23D5B"/>
    <w:rsid w:val="00E249C3"/>
    <w:rsid w:val="00E35662"/>
    <w:rsid w:val="00E35907"/>
    <w:rsid w:val="00E37F52"/>
    <w:rsid w:val="00E41873"/>
    <w:rsid w:val="00E52372"/>
    <w:rsid w:val="00E53885"/>
    <w:rsid w:val="00E57AB3"/>
    <w:rsid w:val="00E734E2"/>
    <w:rsid w:val="00E748F4"/>
    <w:rsid w:val="00E76083"/>
    <w:rsid w:val="00E76416"/>
    <w:rsid w:val="00E7655E"/>
    <w:rsid w:val="00E7700C"/>
    <w:rsid w:val="00E8026A"/>
    <w:rsid w:val="00E80B57"/>
    <w:rsid w:val="00E8149B"/>
    <w:rsid w:val="00E82CC1"/>
    <w:rsid w:val="00E82EF1"/>
    <w:rsid w:val="00E8404D"/>
    <w:rsid w:val="00E8436D"/>
    <w:rsid w:val="00E85172"/>
    <w:rsid w:val="00E9040E"/>
    <w:rsid w:val="00E922B9"/>
    <w:rsid w:val="00E96B4D"/>
    <w:rsid w:val="00EA7578"/>
    <w:rsid w:val="00EB2166"/>
    <w:rsid w:val="00EC6B02"/>
    <w:rsid w:val="00EC6E32"/>
    <w:rsid w:val="00ED036A"/>
    <w:rsid w:val="00ED03E8"/>
    <w:rsid w:val="00ED1542"/>
    <w:rsid w:val="00ED35F5"/>
    <w:rsid w:val="00ED6462"/>
    <w:rsid w:val="00EE5923"/>
    <w:rsid w:val="00EF045C"/>
    <w:rsid w:val="00EF435E"/>
    <w:rsid w:val="00EF70C3"/>
    <w:rsid w:val="00F023ED"/>
    <w:rsid w:val="00F11BEC"/>
    <w:rsid w:val="00F140FF"/>
    <w:rsid w:val="00F16FAC"/>
    <w:rsid w:val="00F200DF"/>
    <w:rsid w:val="00F20EE1"/>
    <w:rsid w:val="00F21429"/>
    <w:rsid w:val="00F219A3"/>
    <w:rsid w:val="00F233AB"/>
    <w:rsid w:val="00F24818"/>
    <w:rsid w:val="00F24B91"/>
    <w:rsid w:val="00F25EAF"/>
    <w:rsid w:val="00F30869"/>
    <w:rsid w:val="00F3432B"/>
    <w:rsid w:val="00F521A8"/>
    <w:rsid w:val="00F56FCB"/>
    <w:rsid w:val="00F62557"/>
    <w:rsid w:val="00F631E0"/>
    <w:rsid w:val="00F650DF"/>
    <w:rsid w:val="00F6586A"/>
    <w:rsid w:val="00F72DA2"/>
    <w:rsid w:val="00F75134"/>
    <w:rsid w:val="00F76F0E"/>
    <w:rsid w:val="00F81595"/>
    <w:rsid w:val="00F82518"/>
    <w:rsid w:val="00F84525"/>
    <w:rsid w:val="00F84575"/>
    <w:rsid w:val="00F86143"/>
    <w:rsid w:val="00F866C4"/>
    <w:rsid w:val="00F867E7"/>
    <w:rsid w:val="00F8754D"/>
    <w:rsid w:val="00F87F50"/>
    <w:rsid w:val="00F90FC1"/>
    <w:rsid w:val="00F912F2"/>
    <w:rsid w:val="00FA7179"/>
    <w:rsid w:val="00FB29E6"/>
    <w:rsid w:val="00FB45CB"/>
    <w:rsid w:val="00FB6E28"/>
    <w:rsid w:val="00FC10E4"/>
    <w:rsid w:val="00FD7C1F"/>
    <w:rsid w:val="00FE51E9"/>
    <w:rsid w:val="00FE6072"/>
    <w:rsid w:val="00FF2DCE"/>
    <w:rsid w:val="0518C50F"/>
    <w:rsid w:val="0AD3B575"/>
    <w:rsid w:val="0D2B5BB9"/>
    <w:rsid w:val="1142F6F9"/>
    <w:rsid w:val="17DCD81F"/>
    <w:rsid w:val="2112ECB6"/>
    <w:rsid w:val="256B561B"/>
    <w:rsid w:val="34D96C77"/>
    <w:rsid w:val="40DAA8FE"/>
    <w:rsid w:val="43596FAA"/>
    <w:rsid w:val="4512DAD0"/>
    <w:rsid w:val="5B4A925B"/>
    <w:rsid w:val="5C0BE945"/>
    <w:rsid w:val="5F014E04"/>
    <w:rsid w:val="61B9D3DF"/>
    <w:rsid w:val="661A6EE6"/>
    <w:rsid w:val="661E684B"/>
    <w:rsid w:val="68D49DE8"/>
    <w:rsid w:val="72AA9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068F"/>
  <w15:docId w15:val="{2C3264DF-773F-4EEB-8DAA-064E7F16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96"/>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5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040"/>
    <w:rPr>
      <w:rFonts w:ascii="Segoe UI" w:eastAsia="Verdana" w:hAnsi="Segoe UI" w:cs="Segoe UI"/>
      <w:color w:val="000000"/>
      <w:sz w:val="18"/>
      <w:szCs w:val="18"/>
    </w:rPr>
  </w:style>
  <w:style w:type="character" w:styleId="CommentReference">
    <w:name w:val="annotation reference"/>
    <w:basedOn w:val="DefaultParagraphFont"/>
    <w:uiPriority w:val="99"/>
    <w:semiHidden/>
    <w:unhideWhenUsed/>
    <w:rsid w:val="00814BA0"/>
    <w:rPr>
      <w:sz w:val="16"/>
      <w:szCs w:val="16"/>
    </w:rPr>
  </w:style>
  <w:style w:type="paragraph" w:styleId="CommentText">
    <w:name w:val="annotation text"/>
    <w:basedOn w:val="Normal"/>
    <w:link w:val="CommentTextChar"/>
    <w:uiPriority w:val="99"/>
    <w:unhideWhenUsed/>
    <w:rsid w:val="00814BA0"/>
    <w:pPr>
      <w:spacing w:line="240" w:lineRule="auto"/>
    </w:pPr>
    <w:rPr>
      <w:sz w:val="20"/>
      <w:szCs w:val="20"/>
    </w:rPr>
  </w:style>
  <w:style w:type="character" w:customStyle="1" w:styleId="CommentTextChar">
    <w:name w:val="Comment Text Char"/>
    <w:basedOn w:val="DefaultParagraphFont"/>
    <w:link w:val="CommentText"/>
    <w:uiPriority w:val="99"/>
    <w:rsid w:val="00814BA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814BA0"/>
    <w:rPr>
      <w:b/>
      <w:bCs/>
    </w:rPr>
  </w:style>
  <w:style w:type="character" w:customStyle="1" w:styleId="CommentSubjectChar">
    <w:name w:val="Comment Subject Char"/>
    <w:basedOn w:val="CommentTextChar"/>
    <w:link w:val="CommentSubject"/>
    <w:uiPriority w:val="99"/>
    <w:semiHidden/>
    <w:rsid w:val="00814BA0"/>
    <w:rPr>
      <w:rFonts w:ascii="Verdana" w:eastAsia="Verdana" w:hAnsi="Verdana" w:cs="Verdana"/>
      <w:b/>
      <w:bCs/>
      <w:color w:val="000000"/>
      <w:sz w:val="20"/>
      <w:szCs w:val="20"/>
    </w:rPr>
  </w:style>
  <w:style w:type="character" w:styleId="Hyperlink">
    <w:name w:val="Hyperlink"/>
    <w:basedOn w:val="DefaultParagraphFont"/>
    <w:uiPriority w:val="99"/>
    <w:unhideWhenUsed/>
    <w:rsid w:val="005C1D57"/>
    <w:rPr>
      <w:color w:val="0563C1" w:themeColor="hyperlink"/>
      <w:u w:val="single"/>
    </w:rPr>
  </w:style>
  <w:style w:type="character" w:styleId="UnresolvedMention">
    <w:name w:val="Unresolved Mention"/>
    <w:basedOn w:val="DefaultParagraphFont"/>
    <w:uiPriority w:val="99"/>
    <w:semiHidden/>
    <w:unhideWhenUsed/>
    <w:rsid w:val="005C1D57"/>
    <w:rPr>
      <w:color w:val="808080"/>
      <w:shd w:val="clear" w:color="auto" w:fill="E6E6E6"/>
    </w:rPr>
  </w:style>
  <w:style w:type="character" w:styleId="FollowedHyperlink">
    <w:name w:val="FollowedHyperlink"/>
    <w:basedOn w:val="DefaultParagraphFont"/>
    <w:uiPriority w:val="99"/>
    <w:semiHidden/>
    <w:unhideWhenUsed/>
    <w:rsid w:val="00F90FC1"/>
    <w:rPr>
      <w:color w:val="954F72" w:themeColor="followedHyperlink"/>
      <w:u w:val="single"/>
    </w:rPr>
  </w:style>
  <w:style w:type="paragraph" w:styleId="Revision">
    <w:name w:val="Revision"/>
    <w:hidden/>
    <w:uiPriority w:val="99"/>
    <w:semiHidden/>
    <w:rsid w:val="009206A7"/>
    <w:pPr>
      <w:spacing w:after="0" w:line="240" w:lineRule="auto"/>
    </w:pPr>
    <w:rPr>
      <w:rFonts w:ascii="Verdana" w:eastAsia="Verdana" w:hAnsi="Verdana" w:cs="Verdana"/>
      <w:color w:val="000000"/>
      <w:sz w:val="24"/>
    </w:rPr>
  </w:style>
  <w:style w:type="paragraph" w:styleId="Header">
    <w:name w:val="header"/>
    <w:basedOn w:val="Normal"/>
    <w:link w:val="HeaderChar"/>
    <w:uiPriority w:val="99"/>
    <w:unhideWhenUsed/>
    <w:rsid w:val="00C6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6F6"/>
    <w:rPr>
      <w:rFonts w:ascii="Verdana" w:eastAsia="Verdana" w:hAnsi="Verdana" w:cs="Verdana"/>
      <w:color w:val="000000"/>
      <w:sz w:val="24"/>
    </w:rPr>
  </w:style>
  <w:style w:type="paragraph" w:styleId="Footer">
    <w:name w:val="footer"/>
    <w:basedOn w:val="Normal"/>
    <w:link w:val="FooterChar"/>
    <w:uiPriority w:val="99"/>
    <w:semiHidden/>
    <w:unhideWhenUsed/>
    <w:rsid w:val="00C656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56F6"/>
    <w:rPr>
      <w:rFonts w:ascii="Verdana" w:eastAsia="Verdana" w:hAnsi="Verdana" w:cs="Verdan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414">
      <w:bodyDiv w:val="1"/>
      <w:marLeft w:val="0"/>
      <w:marRight w:val="0"/>
      <w:marTop w:val="0"/>
      <w:marBottom w:val="0"/>
      <w:divBdr>
        <w:top w:val="none" w:sz="0" w:space="0" w:color="auto"/>
        <w:left w:val="none" w:sz="0" w:space="0" w:color="auto"/>
        <w:bottom w:val="none" w:sz="0" w:space="0" w:color="auto"/>
        <w:right w:val="none" w:sz="0" w:space="0" w:color="auto"/>
      </w:divBdr>
    </w:div>
    <w:div w:id="367490284">
      <w:bodyDiv w:val="1"/>
      <w:marLeft w:val="0"/>
      <w:marRight w:val="0"/>
      <w:marTop w:val="0"/>
      <w:marBottom w:val="0"/>
      <w:divBdr>
        <w:top w:val="none" w:sz="0" w:space="0" w:color="auto"/>
        <w:left w:val="none" w:sz="0" w:space="0" w:color="auto"/>
        <w:bottom w:val="none" w:sz="0" w:space="0" w:color="auto"/>
        <w:right w:val="none" w:sz="0" w:space="0" w:color="auto"/>
      </w:divBdr>
    </w:div>
    <w:div w:id="413934712">
      <w:bodyDiv w:val="1"/>
      <w:marLeft w:val="0"/>
      <w:marRight w:val="0"/>
      <w:marTop w:val="0"/>
      <w:marBottom w:val="0"/>
      <w:divBdr>
        <w:top w:val="none" w:sz="0" w:space="0" w:color="auto"/>
        <w:left w:val="none" w:sz="0" w:space="0" w:color="auto"/>
        <w:bottom w:val="none" w:sz="0" w:space="0" w:color="auto"/>
        <w:right w:val="none" w:sz="0" w:space="0" w:color="auto"/>
      </w:divBdr>
    </w:div>
    <w:div w:id="849493958">
      <w:bodyDiv w:val="1"/>
      <w:marLeft w:val="0"/>
      <w:marRight w:val="0"/>
      <w:marTop w:val="0"/>
      <w:marBottom w:val="0"/>
      <w:divBdr>
        <w:top w:val="none" w:sz="0" w:space="0" w:color="auto"/>
        <w:left w:val="none" w:sz="0" w:space="0" w:color="auto"/>
        <w:bottom w:val="none" w:sz="0" w:space="0" w:color="auto"/>
        <w:right w:val="none" w:sz="0" w:space="0" w:color="auto"/>
      </w:divBdr>
    </w:div>
    <w:div w:id="919829725">
      <w:bodyDiv w:val="1"/>
      <w:marLeft w:val="0"/>
      <w:marRight w:val="0"/>
      <w:marTop w:val="0"/>
      <w:marBottom w:val="0"/>
      <w:divBdr>
        <w:top w:val="none" w:sz="0" w:space="0" w:color="auto"/>
        <w:left w:val="none" w:sz="0" w:space="0" w:color="auto"/>
        <w:bottom w:val="none" w:sz="0" w:space="0" w:color="auto"/>
        <w:right w:val="none" w:sz="0" w:space="0" w:color="auto"/>
      </w:divBdr>
    </w:div>
    <w:div w:id="967786457">
      <w:bodyDiv w:val="1"/>
      <w:marLeft w:val="0"/>
      <w:marRight w:val="0"/>
      <w:marTop w:val="0"/>
      <w:marBottom w:val="0"/>
      <w:divBdr>
        <w:top w:val="none" w:sz="0" w:space="0" w:color="auto"/>
        <w:left w:val="none" w:sz="0" w:space="0" w:color="auto"/>
        <w:bottom w:val="none" w:sz="0" w:space="0" w:color="auto"/>
        <w:right w:val="none" w:sz="0" w:space="0" w:color="auto"/>
      </w:divBdr>
    </w:div>
    <w:div w:id="141808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nfo.eco-act.com/en/homeworking-emissions-whitepaper-2020"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eco-act.com/" TargetMode="Externa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otlink.org/?s=carbon+accounts&amp;post_type=publication&amp;ezXjgVUlB=yui3tUg_G9DCJE5&amp;-kMYSp=SfkJtwoKVqvRZA9r&amp;IBxUkHfiN_A=1vgaRfW&amp;aqwSYhBzHfp=1qLJ0mX%40.Wg&amp;ezXjgVUlB=yui3tUg_G9DCJE5&amp;-kMYSp=SfkJtwoKVqvRZA9r&amp;IBxUkHfiN_A=1vgaRfW&amp;aqwSYhBzHfp=1qLJ0mX%40.Wg" TargetMode="External"/><Relationship Id="rId20" Type="http://schemas.openxmlformats.org/officeDocument/2006/relationships/hyperlink" Target="https://www.gov.uk/government/publications/greenhouse-gas-reporting-conversion-factors-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4.xml"/><Relationship Id="rId32"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chart" Target="charts/chart3.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ulb.co.uk/blog/how-to-measure-the-carbon-impact-of-working-from-ho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3.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https://scottishenvironmentlink.sharepoint.com/sites/admin/Shared%20Documents/Carbon%20Emissions/Carbon%20accounts%20LINK/2021-22%20Climate%20Accountin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scottishenvironmentlink.sharepoint.com/sites/admin/Shared%20Documents/Carbon%20Emissions/Carbon%20accounts%20LINK/2021-22%20Climate%20Accounting.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scottishenvironmentlink.sharepoint.com/sites/admin/Shared%20Documents/Carbon%20Emissions/Carbon%20accounts%20LINK/2021-22%20Climate%20Accounting.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scottishenvironmentlink.sharepoint.com/sites/admin/Shared%20Documents/Carbon%20Emissions/Carbon%20accounts%20LINK/2021-22%20Climate%20Accounting.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https://scottishenvironmentlink.sharepoint.com/sites/admin/Shared%20Documents/Carbon%20Emissions/Carbon%20accounts%20LINK/2021-22%20Climate%20Accounting.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https://scottishenvironmentlink.sharepoint.com/sites/admin/Shared%20Documents/Carbon%20Emissions/Carbon%20accounts%20LINK/2021-22%20Climate%20Accounting.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GB" sz="1400"/>
              <a:t>Total carbon emissions from business activities</a:t>
            </a:r>
          </a:p>
        </c:rich>
      </c:tx>
      <c:overlay val="0"/>
    </c:title>
    <c:autoTitleDeleted val="0"/>
    <c:plotArea>
      <c:layout/>
      <c:barChart>
        <c:barDir val="col"/>
        <c:grouping val="clustered"/>
        <c:varyColors val="0"/>
        <c:ser>
          <c:idx val="0"/>
          <c:order val="0"/>
          <c:tx>
            <c:strRef>
              <c:f>Trends!$A$28</c:f>
              <c:strCache>
                <c:ptCount val="1"/>
                <c:pt idx="0">
                  <c:v>data-set = Total CO2 (METRIC TONNES)</c:v>
                </c:pt>
              </c:strCache>
            </c:strRef>
          </c:tx>
          <c:spPr>
            <a:solidFill>
              <a:schemeClr val="accent3"/>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Trends!$H$4:$S$4</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Trends!$H$28:$S$28</c:f>
              <c:numCache>
                <c:formatCode>0.00</c:formatCode>
                <c:ptCount val="12"/>
                <c:pt idx="0">
                  <c:v>15.650958837956782</c:v>
                </c:pt>
                <c:pt idx="1">
                  <c:v>15.125552776482801</c:v>
                </c:pt>
                <c:pt idx="2">
                  <c:v>12.434983120529601</c:v>
                </c:pt>
                <c:pt idx="3">
                  <c:v>13.494933058947199</c:v>
                </c:pt>
                <c:pt idx="4">
                  <c:v>13.484552865843998</c:v>
                </c:pt>
                <c:pt idx="5">
                  <c:v>13.31</c:v>
                </c:pt>
                <c:pt idx="6">
                  <c:v>9.9710000000000001</c:v>
                </c:pt>
                <c:pt idx="7">
                  <c:v>5.4025527651583918</c:v>
                </c:pt>
                <c:pt idx="8">
                  <c:v>7.6446319494505302</c:v>
                </c:pt>
                <c:pt idx="9">
                  <c:v>6.1584426429408001</c:v>
                </c:pt>
                <c:pt idx="10">
                  <c:v>2.5076898000000001</c:v>
                </c:pt>
                <c:pt idx="11">
                  <c:v>3.3041173627999996</c:v>
                </c:pt>
              </c:numCache>
            </c:numRef>
          </c:val>
          <c:extLst>
            <c:ext xmlns:c16="http://schemas.microsoft.com/office/drawing/2014/chart" uri="{C3380CC4-5D6E-409C-BE32-E72D297353CC}">
              <c16:uniqueId val="{00000000-0E69-493A-BD77-CF439CB3A827}"/>
            </c:ext>
          </c:extLst>
        </c:ser>
        <c:dLbls>
          <c:dLblPos val="outEnd"/>
          <c:showLegendKey val="0"/>
          <c:showVal val="1"/>
          <c:showCatName val="0"/>
          <c:showSerName val="0"/>
          <c:showPercent val="0"/>
          <c:showBubbleSize val="0"/>
        </c:dLbls>
        <c:gapWidth val="150"/>
        <c:axId val="491242952"/>
        <c:axId val="491239816"/>
      </c:barChart>
      <c:catAx>
        <c:axId val="49124295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239816"/>
        <c:crosses val="autoZero"/>
        <c:auto val="1"/>
        <c:lblAlgn val="ctr"/>
        <c:lblOffset val="100"/>
        <c:noMultiLvlLbl val="0"/>
      </c:catAx>
      <c:valAx>
        <c:axId val="491239816"/>
        <c:scaling>
          <c:orientation val="minMax"/>
          <c:min val="0"/>
        </c:scaling>
        <c:delete val="0"/>
        <c:axPos val="l"/>
        <c:majorGridlines/>
        <c:title>
          <c:tx>
            <c:rich>
              <a:bodyPr/>
              <a:lstStyle/>
              <a:p>
                <a:pPr>
                  <a:defRPr sz="1000" b="1" i="0" u="none" strike="noStrike" baseline="0">
                    <a:solidFill>
                      <a:srgbClr val="000000"/>
                    </a:solidFill>
                    <a:latin typeface="Calibri"/>
                    <a:ea typeface="Calibri"/>
                    <a:cs typeface="Calibri"/>
                  </a:defRPr>
                </a:pPr>
                <a:r>
                  <a:rPr lang="en-GB"/>
                  <a:t>Metric tonnes CO2</a:t>
                </a:r>
              </a:p>
            </c:rich>
          </c:tx>
          <c:overlay val="0"/>
        </c:title>
        <c:numFmt formatCode="0.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242952"/>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GB" b="1"/>
              <a:t>
LINK'S TOTAL CARBON</a:t>
            </a:r>
            <a:r>
              <a:rPr lang="en-GB" b="1" baseline="0"/>
              <a:t> EMISSIONS</a:t>
            </a:r>
            <a:endParaRPr lang="en-GB" b="1"/>
          </a:p>
        </c:rich>
      </c:tx>
      <c:layout>
        <c:manualLayout>
          <c:xMode val="edge"/>
          <c:yMode val="edge"/>
          <c:x val="0.2246020154216474"/>
          <c:y val="2.9366929133858265E-3"/>
        </c:manualLayout>
      </c:layout>
      <c:overlay val="0"/>
    </c:title>
    <c:autoTitleDeleted val="0"/>
    <c:plotArea>
      <c:layout/>
      <c:pieChart>
        <c:varyColors val="1"/>
        <c:ser>
          <c:idx val="0"/>
          <c:order val="0"/>
          <c:spPr>
            <a:ln>
              <a:noFill/>
            </a:ln>
          </c:spPr>
          <c:explosion val="14"/>
          <c:dLbls>
            <c:dLbl>
              <c:idx val="0"/>
              <c:layout>
                <c:manualLayout>
                  <c:x val="-0.27259184601924757"/>
                  <c:y val="-0.13548893888263966"/>
                </c:manualLayout>
              </c:layout>
              <c:tx>
                <c:rich>
                  <a:bodyPr/>
                  <a:lstStyle/>
                  <a:p>
                    <a:pPr>
                      <a:defRPr>
                        <a:ln>
                          <a:noFill/>
                        </a:ln>
                      </a:defRPr>
                    </a:pPr>
                    <a:r>
                      <a:rPr lang="en-US" baseline="0"/>
                      <a:t>Energy
</a:t>
                    </a:r>
                    <a:fld id="{83B54775-E7E4-4118-8106-9B127CDFBB11}" type="PERCENTAGE">
                      <a:rPr lang="en-US" baseline="0"/>
                      <a:pPr>
                        <a:defRPr>
                          <a:ln>
                            <a:noFill/>
                          </a:ln>
                        </a:defRPr>
                      </a:pPr>
                      <a:t>[PERCENTAGE]</a:t>
                    </a:fld>
                    <a:endParaRPr lang="en-US" baseline="0"/>
                  </a:p>
                </c:rich>
              </c:tx>
              <c:spPr>
                <a:xfrm>
                  <a:off x="1652440" y="1257300"/>
                  <a:ext cx="641572" cy="233090"/>
                </a:xfr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37187863517060366"/>
                      <c:h val="0.26284851893513311"/>
                    </c:manualLayout>
                  </c15:layout>
                  <c15:dlblFieldTable/>
                  <c15:showDataLabelsRange val="0"/>
                </c:ext>
                <c:ext xmlns:c16="http://schemas.microsoft.com/office/drawing/2014/chart" uri="{C3380CC4-5D6E-409C-BE32-E72D297353CC}">
                  <c16:uniqueId val="{00000000-EA53-42D0-9D9E-D8E0B51DBBD0}"/>
                </c:ext>
              </c:extLst>
            </c:dLbl>
            <c:dLbl>
              <c:idx val="1"/>
              <c:layout>
                <c:manualLayout>
                  <c:x val="1.1292388451443569E-2"/>
                  <c:y val="0.1733265841769778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2029648293963253"/>
                      <c:h val="0.2219981252343457"/>
                    </c:manualLayout>
                  </c15:layout>
                </c:ext>
                <c:ext xmlns:c16="http://schemas.microsoft.com/office/drawing/2014/chart" uri="{C3380CC4-5D6E-409C-BE32-E72D297353CC}">
                  <c16:uniqueId val="{00000001-EA53-42D0-9D9E-D8E0B51DBBD0}"/>
                </c:ext>
              </c:extLst>
            </c:dLbl>
            <c:dLbl>
              <c:idx val="2"/>
              <c:layout>
                <c:manualLayout>
                  <c:x val="0.4941652493438321"/>
                  <c:y val="0.18859092613423323"/>
                </c:manualLayout>
              </c:layout>
              <c:tx>
                <c:rich>
                  <a:bodyPr/>
                  <a:lstStyle/>
                  <a:p>
                    <a:pPr>
                      <a:defRPr>
                        <a:ln>
                          <a:noFill/>
                        </a:ln>
                      </a:defRPr>
                    </a:pPr>
                    <a:fld id="{20351422-9884-42C1-A236-BD03C7A440D7}" type="CATEGORYNAME">
                      <a:rPr lang="en-US"/>
                      <a:pPr>
                        <a:defRPr>
                          <a:ln>
                            <a:noFill/>
                          </a:ln>
                        </a:defRPr>
                      </a:pPr>
                      <a:t>[CATEGORY NAME]</a:t>
                    </a:fld>
                    <a:r>
                      <a:rPr lang="en-US" baseline="0"/>
                      <a:t> </a:t>
                    </a:r>
                    <a:fld id="{2E4BA049-E31A-4EC4-A3E2-EB1DEC421020}" type="PERCENTAGE">
                      <a:rPr lang="en-US" baseline="0"/>
                      <a:pPr>
                        <a:defRPr>
                          <a:ln>
                            <a:noFill/>
                          </a:ln>
                        </a:defRPr>
                      </a:pPr>
                      <a:t>[PERCENTAGE]</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c15:spPr>
                  <c15:layout>
                    <c:manualLayout>
                      <c:w val="0.34209903762029742"/>
                      <c:h val="0.17532245969253843"/>
                    </c:manualLayout>
                  </c15:layout>
                  <c15:dlblFieldTable/>
                  <c15:showDataLabelsRange val="0"/>
                </c:ext>
                <c:ext xmlns:c16="http://schemas.microsoft.com/office/drawing/2014/chart" uri="{C3380CC4-5D6E-409C-BE32-E72D297353CC}">
                  <c16:uniqueId val="{00000002-EA53-42D0-9D9E-D8E0B51DBBD0}"/>
                </c:ext>
              </c:extLst>
            </c:dLbl>
            <c:spPr>
              <a:noFill/>
              <a:ln>
                <a:noFill/>
              </a:ln>
              <a:effectLst/>
            </c:spPr>
            <c:txPr>
              <a:bodyPr/>
              <a:lstStyle/>
              <a:p>
                <a:pPr>
                  <a:defRPr>
                    <a:ln>
                      <a:noFill/>
                    </a:ln>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'2021-22'!$A$46:$A$48</c:f>
              <c:strCache>
                <c:ptCount val="3"/>
                <c:pt idx="0">
                  <c:v>Energy</c:v>
                </c:pt>
                <c:pt idx="1">
                  <c:v>Business Travel</c:v>
                </c:pt>
                <c:pt idx="2">
                  <c:v>Commuting</c:v>
                </c:pt>
              </c:strCache>
            </c:strRef>
          </c:cat>
          <c:val>
            <c:numRef>
              <c:f>'2021-22'!$B$46:$B$48</c:f>
              <c:numCache>
                <c:formatCode>#,##0</c:formatCode>
                <c:ptCount val="3"/>
                <c:pt idx="0">
                  <c:v>2890.0201947999999</c:v>
                </c:pt>
                <c:pt idx="1">
                  <c:v>44.86363399999999</c:v>
                </c:pt>
                <c:pt idx="2">
                  <c:v>324.36990000000003</c:v>
                </c:pt>
              </c:numCache>
            </c:numRef>
          </c:val>
          <c:extLst>
            <c:ext xmlns:c16="http://schemas.microsoft.com/office/drawing/2014/chart" uri="{C3380CC4-5D6E-409C-BE32-E72D297353CC}">
              <c16:uniqueId val="{00000003-EA53-42D0-9D9E-D8E0B51DBBD0}"/>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r>
              <a:rPr lang="en-GB"/>
              <a:t>Total Carbon Emissions per Employee</a:t>
            </a:r>
          </a:p>
        </c:rich>
      </c:tx>
      <c:overlay val="0"/>
      <c:spPr>
        <a:noFill/>
        <a:ln>
          <a:noFill/>
        </a:ln>
        <a:effectLst/>
      </c:spPr>
      <c:txPr>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endParaRPr lang="en-US"/>
        </a:p>
      </c:txPr>
    </c:title>
    <c:autoTitleDeleted val="0"/>
    <c:plotArea>
      <c:layout/>
      <c:barChart>
        <c:barDir val="col"/>
        <c:grouping val="clustered"/>
        <c:varyColors val="0"/>
        <c:ser>
          <c:idx val="0"/>
          <c:order val="0"/>
          <c:tx>
            <c:strRef>
              <c:f>Trends!$A$94</c:f>
              <c:strCache>
                <c:ptCount val="1"/>
                <c:pt idx="0">
                  <c:v>Total</c:v>
                </c:pt>
              </c:strCache>
            </c:strRef>
          </c:tx>
          <c:spPr>
            <a:solidFill>
              <a:schemeClr val="accent1"/>
            </a:solidFill>
            <a:ln w="6350" cap="flat" cmpd="sng" algn="ctr">
              <a:solidFill>
                <a:schemeClr val="accent1">
                  <a:shade val="50000"/>
                </a:schemeClr>
              </a:solidFill>
              <a:prstDash val="solid"/>
              <a:round/>
            </a:ln>
            <a:effectLst/>
          </c:spPr>
          <c:invertIfNegative val="0"/>
          <c:trendline>
            <c:spPr>
              <a:ln w="6350" cap="rnd" cmpd="sng" algn="ctr">
                <a:solidFill>
                  <a:schemeClr val="dk1"/>
                </a:solidFill>
                <a:prstDash val="solid"/>
                <a:round/>
              </a:ln>
              <a:effectLst/>
            </c:spPr>
            <c:trendlineType val="linear"/>
            <c:dispRSqr val="0"/>
            <c:dispEq val="0"/>
          </c:trendline>
          <c:cat>
            <c:strRef>
              <c:f>Trends!$D$84:$O$84</c:f>
              <c:strCache>
                <c:ptCount val="12"/>
                <c:pt idx="0">
                  <c:v>2009-10</c:v>
                </c:pt>
                <c:pt idx="1">
                  <c:v>2010-11</c:v>
                </c:pt>
                <c:pt idx="2">
                  <c:v>2011-12</c:v>
                </c:pt>
                <c:pt idx="3">
                  <c:v>2012-3</c:v>
                </c:pt>
                <c:pt idx="4">
                  <c:v>2014-5</c:v>
                </c:pt>
                <c:pt idx="5">
                  <c:v>2015-6</c:v>
                </c:pt>
                <c:pt idx="6">
                  <c:v>2016-7</c:v>
                </c:pt>
                <c:pt idx="7">
                  <c:v>2017-18</c:v>
                </c:pt>
                <c:pt idx="8">
                  <c:v>2018-19</c:v>
                </c:pt>
                <c:pt idx="9">
                  <c:v>2019-20</c:v>
                </c:pt>
                <c:pt idx="10">
                  <c:v>2020-21</c:v>
                </c:pt>
                <c:pt idx="11">
                  <c:v>2021-2</c:v>
                </c:pt>
              </c:strCache>
            </c:strRef>
          </c:cat>
          <c:val>
            <c:numRef>
              <c:f>Trends!$D$94:$O$94</c:f>
              <c:numCache>
                <c:formatCode>0</c:formatCode>
                <c:ptCount val="12"/>
                <c:pt idx="0">
                  <c:v>2893.4267386787305</c:v>
                </c:pt>
                <c:pt idx="1">
                  <c:v>2494.5161121289902</c:v>
                </c:pt>
                <c:pt idx="2">
                  <c:v>1277.8621089336057</c:v>
                </c:pt>
                <c:pt idx="3">
                  <c:v>1994.2839907214588</c:v>
                </c:pt>
                <c:pt idx="4">
                  <c:v>1444.9584456621001</c:v>
                </c:pt>
                <c:pt idx="5">
                  <c:v>2058.0530782805722</c:v>
                </c:pt>
                <c:pt idx="6">
                  <c:v>2022.2878117369696</c:v>
                </c:pt>
                <c:pt idx="7">
                  <c:v>1097.674184355335</c:v>
                </c:pt>
                <c:pt idx="8" formatCode="#,##0">
                  <c:v>1208.1066961097363</c:v>
                </c:pt>
                <c:pt idx="9" formatCode="#,##0">
                  <c:v>1122.7016866936408</c:v>
                </c:pt>
                <c:pt idx="10" formatCode="#,##0">
                  <c:v>351.99175055143371</c:v>
                </c:pt>
                <c:pt idx="11" formatCode="#,##0">
                  <c:v>366.48806818115946</c:v>
                </c:pt>
              </c:numCache>
            </c:numRef>
          </c:val>
          <c:extLst>
            <c:ext xmlns:c16="http://schemas.microsoft.com/office/drawing/2014/chart" uri="{C3380CC4-5D6E-409C-BE32-E72D297353CC}">
              <c16:uniqueId val="{00000001-3791-457C-B82F-3386A449AADD}"/>
            </c:ext>
          </c:extLst>
        </c:ser>
        <c:dLbls>
          <c:showLegendKey val="0"/>
          <c:showVal val="0"/>
          <c:showCatName val="0"/>
          <c:showSerName val="0"/>
          <c:showPercent val="0"/>
          <c:showBubbleSize val="0"/>
        </c:dLbls>
        <c:gapWidth val="150"/>
        <c:axId val="491241384"/>
        <c:axId val="491238640"/>
      </c:barChart>
      <c:catAx>
        <c:axId val="491241384"/>
        <c:scaling>
          <c:orientation val="minMax"/>
        </c:scaling>
        <c:delete val="0"/>
        <c:axPos val="b"/>
        <c:numFmt formatCode="General" sourceLinked="1"/>
        <c:majorTickMark val="none"/>
        <c:minorTickMark val="none"/>
        <c:tickLblPos val="nextTo"/>
        <c:spPr>
          <a:noFill/>
          <a:ln w="6350" cap="flat" cmpd="sng" algn="ctr">
            <a:solidFill>
              <a:schemeClr val="dk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491238640"/>
        <c:crosses val="autoZero"/>
        <c:auto val="1"/>
        <c:lblAlgn val="ctr"/>
        <c:lblOffset val="100"/>
        <c:noMultiLvlLbl val="0"/>
      </c:catAx>
      <c:valAx>
        <c:axId val="491238640"/>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0000"/>
                    </a:solidFill>
                    <a:latin typeface="Calibri"/>
                    <a:ea typeface="Calibri"/>
                    <a:cs typeface="Calibri"/>
                  </a:defRPr>
                </a:pPr>
                <a:r>
                  <a:rPr lang="en-GB"/>
                  <a:t>kg CO2</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000000"/>
                  </a:solidFill>
                  <a:latin typeface="Calibri"/>
                  <a:ea typeface="Calibri"/>
                  <a:cs typeface="Calibri"/>
                </a:defRPr>
              </a:pPr>
              <a:endParaRPr lang="en-US"/>
            </a:p>
          </c:txPr>
        </c:title>
        <c:numFmt formatCode="0" sourceLinked="1"/>
        <c:majorTickMark val="none"/>
        <c:minorTickMark val="none"/>
        <c:tickLblPos val="nextTo"/>
        <c:spPr>
          <a:noFill/>
          <a:ln w="6350" cap="flat" cmpd="sng" algn="ctr">
            <a:solidFill>
              <a:schemeClr val="dk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491241384"/>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Calibri"/>
                <a:ea typeface="Calibri"/>
                <a:cs typeface="Calibri"/>
              </a:defRPr>
            </a:pPr>
            <a:endParaRPr lang="en-US"/>
          </a:p>
        </c:txPr>
      </c:dTable>
      <c:spPr>
        <a:solidFill>
          <a:schemeClr val="dk1">
            <a:tint val="20000"/>
          </a:schemeClr>
        </a:solidFill>
        <a:ln>
          <a:noFill/>
        </a:ln>
        <a:effectLst/>
      </c:spPr>
    </c:plotArea>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r>
              <a:rPr lang="en-GB"/>
              <a:t>Carbon Emissions from Business Travel</a:t>
            </a:r>
          </a:p>
        </c:rich>
      </c:tx>
      <c:overlay val="0"/>
      <c:spPr>
        <a:noFill/>
        <a:ln>
          <a:noFill/>
        </a:ln>
        <a:effectLst/>
      </c:spPr>
      <c:txPr>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endParaRPr lang="en-US"/>
        </a:p>
      </c:txPr>
    </c:title>
    <c:autoTitleDeleted val="0"/>
    <c:plotArea>
      <c:layout/>
      <c:barChart>
        <c:barDir val="col"/>
        <c:grouping val="stacked"/>
        <c:varyColors val="0"/>
        <c:ser>
          <c:idx val="0"/>
          <c:order val="0"/>
          <c:tx>
            <c:strRef>
              <c:f>Trends!$A$11</c:f>
              <c:strCache>
                <c:ptCount val="1"/>
                <c:pt idx="0">
                  <c:v>Rail</c:v>
                </c:pt>
              </c:strCache>
            </c:strRef>
          </c:tx>
          <c:spPr>
            <a:solidFill>
              <a:schemeClr val="accent5">
                <a:shade val="65000"/>
              </a:schemeClr>
            </a:solidFill>
            <a:ln w="6350" cap="flat" cmpd="sng" algn="ctr">
              <a:solidFill>
                <a:schemeClr val="accent5">
                  <a:shade val="50000"/>
                </a:schemeClr>
              </a:solidFill>
              <a:prstDash val="solid"/>
              <a:round/>
            </a:ln>
            <a:effectLst/>
          </c:spPr>
          <c:invertIfNegative val="0"/>
          <c:cat>
            <c:strRef>
              <c:f>Trends!$H$39:$S$39</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Trends!$H$11:$S$11</c:f>
              <c:numCache>
                <c:formatCode>#,##0</c:formatCode>
                <c:ptCount val="12"/>
                <c:pt idx="0">
                  <c:v>1752.0547199999996</c:v>
                </c:pt>
                <c:pt idx="1">
                  <c:v>1665.2042399999996</c:v>
                </c:pt>
                <c:pt idx="2">
                  <c:v>1991.7531199999999</c:v>
                </c:pt>
                <c:pt idx="3">
                  <c:v>1894.5228959999997</c:v>
                </c:pt>
                <c:pt idx="4" formatCode="0">
                  <c:v>1470.2646</c:v>
                </c:pt>
                <c:pt idx="5" formatCode="0">
                  <c:v>1879.03174438</c:v>
                </c:pt>
                <c:pt idx="6">
                  <c:v>1308.9621954815998</c:v>
                </c:pt>
                <c:pt idx="7" formatCode="0">
                  <c:v>647.81665617715203</c:v>
                </c:pt>
                <c:pt idx="8">
                  <c:v>1829.3502156692859</c:v>
                </c:pt>
                <c:pt idx="9" formatCode="General">
                  <c:v>1059</c:v>
                </c:pt>
                <c:pt idx="10" formatCode="0">
                  <c:v>0</c:v>
                </c:pt>
                <c:pt idx="11" formatCode="0">
                  <c:v>28.816893999999994</c:v>
                </c:pt>
              </c:numCache>
            </c:numRef>
          </c:val>
          <c:extLst>
            <c:ext xmlns:c16="http://schemas.microsoft.com/office/drawing/2014/chart" uri="{C3380CC4-5D6E-409C-BE32-E72D297353CC}">
              <c16:uniqueId val="{00000000-5AF1-4164-8138-67BEBB9346D3}"/>
            </c:ext>
          </c:extLst>
        </c:ser>
        <c:ser>
          <c:idx val="1"/>
          <c:order val="1"/>
          <c:tx>
            <c:strRef>
              <c:f>Trends!$A$12</c:f>
              <c:strCache>
                <c:ptCount val="1"/>
                <c:pt idx="0">
                  <c:v>Car</c:v>
                </c:pt>
              </c:strCache>
            </c:strRef>
          </c:tx>
          <c:spPr>
            <a:solidFill>
              <a:schemeClr val="accent5"/>
            </a:solidFill>
            <a:ln w="6350" cap="flat" cmpd="sng" algn="ctr">
              <a:solidFill>
                <a:schemeClr val="accent5">
                  <a:shade val="50000"/>
                </a:schemeClr>
              </a:solidFill>
              <a:prstDash val="solid"/>
              <a:round/>
            </a:ln>
            <a:effectLst/>
          </c:spPr>
          <c:invertIfNegative val="0"/>
          <c:cat>
            <c:strRef>
              <c:f>Trends!$H$39:$S$39</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Trends!$H$12:$R$12</c:f>
              <c:numCache>
                <c:formatCode>#,##0</c:formatCode>
                <c:ptCount val="11"/>
                <c:pt idx="0">
                  <c:v>186.85375999999999</c:v>
                </c:pt>
                <c:pt idx="1">
                  <c:v>237.33792000000005</c:v>
                </c:pt>
                <c:pt idx="2">
                  <c:v>392.61462416663505</c:v>
                </c:pt>
                <c:pt idx="3">
                  <c:v>316.29599999999999</c:v>
                </c:pt>
                <c:pt idx="4" formatCode="0">
                  <c:v>539.19360000000006</c:v>
                </c:pt>
                <c:pt idx="5" formatCode="0">
                  <c:v>324.07029899999992</c:v>
                </c:pt>
                <c:pt idx="6">
                  <c:v>144.28798940160004</c:v>
                </c:pt>
                <c:pt idx="7" formatCode="0">
                  <c:v>37.479046809599936</c:v>
                </c:pt>
                <c:pt idx="8">
                  <c:v>336.60270248324082</c:v>
                </c:pt>
                <c:pt idx="9" formatCode="General">
                  <c:v>496</c:v>
                </c:pt>
                <c:pt idx="10" formatCode="0">
                  <c:v>0</c:v>
                </c:pt>
              </c:numCache>
            </c:numRef>
          </c:val>
          <c:extLst>
            <c:ext xmlns:c16="http://schemas.microsoft.com/office/drawing/2014/chart" uri="{C3380CC4-5D6E-409C-BE32-E72D297353CC}">
              <c16:uniqueId val="{00000001-5AF1-4164-8138-67BEBB9346D3}"/>
            </c:ext>
          </c:extLst>
        </c:ser>
        <c:ser>
          <c:idx val="2"/>
          <c:order val="2"/>
          <c:tx>
            <c:strRef>
              <c:f>Trends!$A$13</c:f>
              <c:strCache>
                <c:ptCount val="1"/>
                <c:pt idx="0">
                  <c:v>Other</c:v>
                </c:pt>
              </c:strCache>
            </c:strRef>
          </c:tx>
          <c:spPr>
            <a:solidFill>
              <a:schemeClr val="accent5">
                <a:tint val="65000"/>
              </a:schemeClr>
            </a:solidFill>
            <a:ln w="6350" cap="flat" cmpd="sng" algn="ctr">
              <a:solidFill>
                <a:schemeClr val="accent5">
                  <a:shade val="50000"/>
                </a:schemeClr>
              </a:solidFill>
              <a:prstDash val="solid"/>
              <a:round/>
            </a:ln>
            <a:effectLst/>
          </c:spPr>
          <c:invertIfNegative val="0"/>
          <c:cat>
            <c:strRef>
              <c:f>Trends!$H$39:$S$39</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Trends!$H$13:$R$13</c:f>
              <c:numCache>
                <c:formatCode>General</c:formatCode>
                <c:ptCount val="11"/>
                <c:pt idx="7" formatCode="0">
                  <c:v>9.4369357209600064</c:v>
                </c:pt>
                <c:pt idx="8" formatCode="#,##0">
                  <c:v>105.96320454267106</c:v>
                </c:pt>
                <c:pt idx="9">
                  <c:v>362</c:v>
                </c:pt>
                <c:pt idx="10" formatCode="0">
                  <c:v>0</c:v>
                </c:pt>
              </c:numCache>
            </c:numRef>
          </c:val>
          <c:extLst>
            <c:ext xmlns:c16="http://schemas.microsoft.com/office/drawing/2014/chart" uri="{C3380CC4-5D6E-409C-BE32-E72D297353CC}">
              <c16:uniqueId val="{00000002-5AF1-4164-8138-67BEBB9346D3}"/>
            </c:ext>
          </c:extLst>
        </c:ser>
        <c:dLbls>
          <c:showLegendKey val="0"/>
          <c:showVal val="0"/>
          <c:showCatName val="0"/>
          <c:showSerName val="0"/>
          <c:showPercent val="0"/>
          <c:showBubbleSize val="0"/>
        </c:dLbls>
        <c:gapWidth val="95"/>
        <c:overlap val="100"/>
        <c:axId val="213136360"/>
        <c:axId val="213142240"/>
      </c:barChart>
      <c:catAx>
        <c:axId val="213136360"/>
        <c:scaling>
          <c:orientation val="minMax"/>
        </c:scaling>
        <c:delete val="0"/>
        <c:axPos val="b"/>
        <c:numFmt formatCode="General" sourceLinked="1"/>
        <c:majorTickMark val="none"/>
        <c:minorTickMark val="none"/>
        <c:tickLblPos val="nextTo"/>
        <c:spPr>
          <a:noFill/>
          <a:ln w="6350" cap="flat" cmpd="sng" algn="ctr">
            <a:solidFill>
              <a:schemeClr val="dk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213142240"/>
        <c:crosses val="autoZero"/>
        <c:auto val="1"/>
        <c:lblAlgn val="ctr"/>
        <c:lblOffset val="100"/>
        <c:noMultiLvlLbl val="0"/>
      </c:catAx>
      <c:valAx>
        <c:axId val="213142240"/>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0000"/>
                    </a:solidFill>
                    <a:latin typeface="Calibri"/>
                    <a:ea typeface="Calibri"/>
                    <a:cs typeface="Calibri"/>
                  </a:defRPr>
                </a:pPr>
                <a:r>
                  <a:rPr lang="en-GB"/>
                  <a:t>kg CO2</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000000"/>
                  </a:solidFill>
                  <a:latin typeface="Calibri"/>
                  <a:ea typeface="Calibri"/>
                  <a:cs typeface="Calibri"/>
                </a:defRPr>
              </a:pPr>
              <a:endParaRPr lang="en-US"/>
            </a:p>
          </c:txPr>
        </c:title>
        <c:numFmt formatCode="#,##0" sourceLinked="1"/>
        <c:majorTickMark val="none"/>
        <c:minorTickMark val="none"/>
        <c:tickLblPos val="nextTo"/>
        <c:spPr>
          <a:noFill/>
          <a:ln w="6350" cap="flat" cmpd="sng" algn="ctr">
            <a:solidFill>
              <a:schemeClr val="dk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213136360"/>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Calibri"/>
                <a:ea typeface="Calibri"/>
                <a:cs typeface="Calibri"/>
              </a:defRPr>
            </a:pPr>
            <a:endParaRPr lang="en-US"/>
          </a:p>
        </c:txPr>
      </c:dTable>
      <c:spPr>
        <a:solidFill>
          <a:schemeClr val="accent5">
            <a:tint val="20000"/>
          </a:schemeClr>
        </a:solidFill>
        <a:ln>
          <a:noFill/>
        </a:ln>
        <a:effectLst/>
      </c:spPr>
    </c:plotArea>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LINK</a:t>
            </a:r>
            <a:r>
              <a:rPr lang="en-US" baseline="0"/>
              <a:t> Business Travel Trends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Trends!$A$46</c:f>
              <c:strCache>
                <c:ptCount val="1"/>
                <c:pt idx="0">
                  <c:v>Perth</c:v>
                </c:pt>
              </c:strCache>
            </c:strRef>
          </c:tx>
          <c:spPr>
            <a:solidFill>
              <a:schemeClr val="accent1"/>
            </a:solidFill>
            <a:ln>
              <a:noFill/>
            </a:ln>
            <a:effectLst/>
          </c:spPr>
          <c:invertIfNegative val="0"/>
          <c:cat>
            <c:strRef>
              <c:f>Trends!$H$45:$S$45</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Trends!$H$46:$S$46</c:f>
              <c:numCache>
                <c:formatCode>#,##0</c:formatCode>
                <c:ptCount val="12"/>
                <c:pt idx="0">
                  <c:v>17824.199999999997</c:v>
                </c:pt>
                <c:pt idx="1">
                  <c:v>11410.8</c:v>
                </c:pt>
                <c:pt idx="2">
                  <c:v>13038.400000000001</c:v>
                </c:pt>
                <c:pt idx="3">
                  <c:v>11994.359999999999</c:v>
                </c:pt>
                <c:pt idx="4">
                  <c:v>8838.7999999999993</c:v>
                </c:pt>
                <c:pt idx="5" formatCode="General">
                  <c:v>11507.567999999999</c:v>
                </c:pt>
                <c:pt idx="6" formatCode="General">
                  <c:v>16607.142604799999</c:v>
                </c:pt>
                <c:pt idx="7" formatCode="General">
                  <c:v>6565.2</c:v>
                </c:pt>
                <c:pt idx="8">
                  <c:v>10319.199999999999</c:v>
                </c:pt>
                <c:pt idx="9" formatCode="General">
                  <c:v>13107</c:v>
                </c:pt>
                <c:pt idx="10">
                  <c:v>0</c:v>
                </c:pt>
                <c:pt idx="11">
                  <c:v>780.1</c:v>
                </c:pt>
              </c:numCache>
            </c:numRef>
          </c:val>
          <c:extLst>
            <c:ext xmlns:c16="http://schemas.microsoft.com/office/drawing/2014/chart" uri="{C3380CC4-5D6E-409C-BE32-E72D297353CC}">
              <c16:uniqueId val="{00000000-948D-4D8E-80C5-0A985900E5CF}"/>
            </c:ext>
          </c:extLst>
        </c:ser>
        <c:ser>
          <c:idx val="1"/>
          <c:order val="1"/>
          <c:tx>
            <c:strRef>
              <c:f>Trends!$A$47</c:f>
              <c:strCache>
                <c:ptCount val="1"/>
                <c:pt idx="0">
                  <c:v>Edinburgh</c:v>
                </c:pt>
              </c:strCache>
            </c:strRef>
          </c:tx>
          <c:spPr>
            <a:solidFill>
              <a:schemeClr val="accent3"/>
            </a:solidFill>
            <a:ln>
              <a:noFill/>
            </a:ln>
            <a:effectLst/>
          </c:spPr>
          <c:invertIfNegative val="0"/>
          <c:cat>
            <c:strRef>
              <c:f>Trends!$H$45:$S$45</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Trends!$H$47:$S$47</c:f>
              <c:numCache>
                <c:formatCode>#,##0</c:formatCode>
                <c:ptCount val="12"/>
                <c:pt idx="0">
                  <c:v>8616.5999999999985</c:v>
                </c:pt>
                <c:pt idx="1">
                  <c:v>9851.2000000000007</c:v>
                </c:pt>
                <c:pt idx="2">
                  <c:v>10980.8</c:v>
                </c:pt>
                <c:pt idx="3">
                  <c:v>7256.6</c:v>
                </c:pt>
                <c:pt idx="4">
                  <c:v>6749.6</c:v>
                </c:pt>
                <c:pt idx="5" formatCode="General">
                  <c:v>5859.3344000000006</c:v>
                </c:pt>
                <c:pt idx="6" formatCode="General">
                  <c:v>6413.2358400000003</c:v>
                </c:pt>
                <c:pt idx="7" formatCode="General">
                  <c:v>1770.6</c:v>
                </c:pt>
                <c:pt idx="8">
                  <c:v>3985</c:v>
                </c:pt>
                <c:pt idx="9" formatCode="General">
                  <c:v>2321</c:v>
                </c:pt>
                <c:pt idx="10">
                  <c:v>0</c:v>
                </c:pt>
                <c:pt idx="11">
                  <c:v>0</c:v>
                </c:pt>
              </c:numCache>
            </c:numRef>
          </c:val>
          <c:extLst>
            <c:ext xmlns:c16="http://schemas.microsoft.com/office/drawing/2014/chart" uri="{C3380CC4-5D6E-409C-BE32-E72D297353CC}">
              <c16:uniqueId val="{00000001-948D-4D8E-80C5-0A985900E5CF}"/>
            </c:ext>
          </c:extLst>
        </c:ser>
        <c:ser>
          <c:idx val="2"/>
          <c:order val="2"/>
          <c:tx>
            <c:strRef>
              <c:f>Trends!$A$48</c:f>
              <c:strCache>
                <c:ptCount val="1"/>
                <c:pt idx="0">
                  <c:v>Marine</c:v>
                </c:pt>
              </c:strCache>
            </c:strRef>
          </c:tx>
          <c:spPr>
            <a:solidFill>
              <a:schemeClr val="accent5"/>
            </a:solidFill>
            <a:ln>
              <a:noFill/>
            </a:ln>
            <a:effectLst/>
          </c:spPr>
          <c:invertIfNegative val="0"/>
          <c:cat>
            <c:strRef>
              <c:f>Trends!$H$45:$S$45</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Trends!$H$48:$S$48</c:f>
              <c:numCache>
                <c:formatCode>0</c:formatCode>
                <c:ptCount val="12"/>
                <c:pt idx="0">
                  <c:v>4743.5</c:v>
                </c:pt>
                <c:pt idx="1">
                  <c:v>8004.1600000000008</c:v>
                </c:pt>
                <c:pt idx="2" formatCode="#,##0">
                  <c:v>11764</c:v>
                </c:pt>
                <c:pt idx="3" formatCode="#,##0">
                  <c:v>16399.28</c:v>
                </c:pt>
                <c:pt idx="4">
                  <c:v>11159.600000000002</c:v>
                </c:pt>
                <c:pt idx="5" formatCode="General">
                  <c:v>13160.332800000002</c:v>
                </c:pt>
                <c:pt idx="6" formatCode="General">
                  <c:v>2971.4927616000004</c:v>
                </c:pt>
                <c:pt idx="7" formatCode="General">
                  <c:v>498</c:v>
                </c:pt>
                <c:pt idx="8">
                  <c:v>1846.4</c:v>
                </c:pt>
                <c:pt idx="9" formatCode="General">
                  <c:v>384</c:v>
                </c:pt>
                <c:pt idx="10">
                  <c:v>0</c:v>
                </c:pt>
                <c:pt idx="11">
                  <c:v>0</c:v>
                </c:pt>
              </c:numCache>
            </c:numRef>
          </c:val>
          <c:extLst>
            <c:ext xmlns:c16="http://schemas.microsoft.com/office/drawing/2014/chart" uri="{C3380CC4-5D6E-409C-BE32-E72D297353CC}">
              <c16:uniqueId val="{00000002-948D-4D8E-80C5-0A985900E5CF}"/>
            </c:ext>
          </c:extLst>
        </c:ser>
        <c:ser>
          <c:idx val="3"/>
          <c:order val="3"/>
          <c:tx>
            <c:strRef>
              <c:f>Trends!$A$49</c:f>
              <c:strCache>
                <c:ptCount val="1"/>
                <c:pt idx="0">
                  <c:v>Flourishing</c:v>
                </c:pt>
              </c:strCache>
            </c:strRef>
          </c:tx>
          <c:spPr>
            <a:solidFill>
              <a:schemeClr val="accent1">
                <a:lumMod val="60000"/>
              </a:schemeClr>
            </a:solidFill>
            <a:ln>
              <a:noFill/>
            </a:ln>
            <a:effectLst/>
          </c:spPr>
          <c:invertIfNegative val="0"/>
          <c:cat>
            <c:strRef>
              <c:f>Trends!$H$45:$S$45</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Trends!$H$49:$S$49</c:f>
              <c:numCache>
                <c:formatCode>General</c:formatCode>
                <c:ptCount val="12"/>
                <c:pt idx="0">
                  <c:v>0</c:v>
                </c:pt>
                <c:pt idx="1">
                  <c:v>0</c:v>
                </c:pt>
                <c:pt idx="2" formatCode="#,##0">
                  <c:v>0</c:v>
                </c:pt>
                <c:pt idx="3" formatCode="#,##0">
                  <c:v>0</c:v>
                </c:pt>
                <c:pt idx="4" formatCode="0">
                  <c:v>2396.8000000000002</c:v>
                </c:pt>
                <c:pt idx="5">
                  <c:v>3612.2050000000004</c:v>
                </c:pt>
                <c:pt idx="6">
                  <c:v>1396.9105920000002</c:v>
                </c:pt>
              </c:numCache>
            </c:numRef>
          </c:val>
          <c:extLst>
            <c:ext xmlns:c16="http://schemas.microsoft.com/office/drawing/2014/chart" uri="{C3380CC4-5D6E-409C-BE32-E72D297353CC}">
              <c16:uniqueId val="{00000003-948D-4D8E-80C5-0A985900E5CF}"/>
            </c:ext>
          </c:extLst>
        </c:ser>
        <c:ser>
          <c:idx val="4"/>
          <c:order val="4"/>
          <c:tx>
            <c:strRef>
              <c:f>Trends!$A$50</c:f>
              <c:strCache>
                <c:ptCount val="1"/>
                <c:pt idx="0">
                  <c:v>Circular Economy</c:v>
                </c:pt>
              </c:strCache>
            </c:strRef>
          </c:tx>
          <c:spPr>
            <a:solidFill>
              <a:schemeClr val="accent3">
                <a:lumMod val="60000"/>
              </a:schemeClr>
            </a:solidFill>
            <a:ln>
              <a:noFill/>
            </a:ln>
            <a:effectLst/>
          </c:spPr>
          <c:invertIfNegative val="0"/>
          <c:cat>
            <c:strRef>
              <c:f>Trends!$H$45:$S$45</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Trends!$H$50:$S$50</c:f>
              <c:numCache>
                <c:formatCode>General</c:formatCode>
                <c:ptCount val="12"/>
                <c:pt idx="0">
                  <c:v>0</c:v>
                </c:pt>
                <c:pt idx="1">
                  <c:v>0</c:v>
                </c:pt>
                <c:pt idx="2" formatCode="#,##0">
                  <c:v>0</c:v>
                </c:pt>
                <c:pt idx="3" formatCode="#,##0">
                  <c:v>0</c:v>
                </c:pt>
                <c:pt idx="4" formatCode="#,##0">
                  <c:v>0</c:v>
                </c:pt>
                <c:pt idx="5" formatCode="#,##0">
                  <c:v>0</c:v>
                </c:pt>
                <c:pt idx="6" formatCode="#,##0">
                  <c:v>0</c:v>
                </c:pt>
                <c:pt idx="7">
                  <c:v>0</c:v>
                </c:pt>
                <c:pt idx="8" formatCode="0">
                  <c:v>0</c:v>
                </c:pt>
                <c:pt idx="9">
                  <c:v>2651</c:v>
                </c:pt>
                <c:pt idx="10" formatCode="0">
                  <c:v>0</c:v>
                </c:pt>
                <c:pt idx="11" formatCode="0">
                  <c:v>0</c:v>
                </c:pt>
              </c:numCache>
            </c:numRef>
          </c:val>
          <c:extLst>
            <c:ext xmlns:c16="http://schemas.microsoft.com/office/drawing/2014/chart" uri="{C3380CC4-5D6E-409C-BE32-E72D297353CC}">
              <c16:uniqueId val="{00000004-948D-4D8E-80C5-0A985900E5CF}"/>
            </c:ext>
          </c:extLst>
        </c:ser>
        <c:dLbls>
          <c:showLegendKey val="0"/>
          <c:showVal val="0"/>
          <c:showCatName val="0"/>
          <c:showSerName val="0"/>
          <c:showPercent val="0"/>
          <c:showBubbleSize val="0"/>
        </c:dLbls>
        <c:gapWidth val="150"/>
        <c:overlap val="100"/>
        <c:axId val="1112873135"/>
        <c:axId val="1112877295"/>
      </c:barChart>
      <c:catAx>
        <c:axId val="111287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77295"/>
        <c:crosses val="autoZero"/>
        <c:auto val="1"/>
        <c:lblAlgn val="ctr"/>
        <c:lblOffset val="100"/>
        <c:noMultiLvlLbl val="0"/>
      </c:catAx>
      <c:valAx>
        <c:axId val="1112877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Mile Travelled</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73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LINK's</a:t>
            </a:r>
            <a:r>
              <a:rPr lang="en-GB" baseline="0"/>
              <a:t> Carbon Emissions from Commuting</a:t>
            </a:r>
            <a:endParaRPr lang="en-GB"/>
          </a:p>
        </c:rich>
      </c:tx>
      <c:layout>
        <c:manualLayout>
          <c:xMode val="edge"/>
          <c:yMode val="edge"/>
          <c:x val="0.26205922875956444"/>
          <c:y val="4.15224913494809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Trends!$A$17</c:f>
              <c:strCache>
                <c:ptCount val="1"/>
                <c:pt idx="0">
                  <c:v>Bus</c:v>
                </c:pt>
              </c:strCache>
            </c:strRef>
          </c:tx>
          <c:spPr>
            <a:solidFill>
              <a:schemeClr val="accent1"/>
            </a:solidFill>
            <a:ln>
              <a:noFill/>
            </a:ln>
            <a:effectLst/>
          </c:spPr>
          <c:invertIfNegative val="0"/>
          <c:cat>
            <c:strRef>
              <c:f>Trends!$H$16:$S$16</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Trends!$H$17:$S$17</c:f>
              <c:numCache>
                <c:formatCode>#,##0</c:formatCode>
                <c:ptCount val="12"/>
                <c:pt idx="0">
                  <c:v>21.463750000000346</c:v>
                </c:pt>
                <c:pt idx="1">
                  <c:v>0</c:v>
                </c:pt>
                <c:pt idx="2">
                  <c:v>0</c:v>
                </c:pt>
                <c:pt idx="3">
                  <c:v>956.40599999999995</c:v>
                </c:pt>
                <c:pt idx="4" formatCode="General">
                  <c:v>0</c:v>
                </c:pt>
                <c:pt idx="5" formatCode="General">
                  <c:v>0</c:v>
                </c:pt>
                <c:pt idx="6">
                  <c:v>0</c:v>
                </c:pt>
                <c:pt idx="7" formatCode="0">
                  <c:v>73.238541742080002</c:v>
                </c:pt>
                <c:pt idx="8">
                  <c:v>0</c:v>
                </c:pt>
                <c:pt idx="9" formatCode="General">
                  <c:v>79</c:v>
                </c:pt>
                <c:pt idx="10">
                  <c:v>0</c:v>
                </c:pt>
                <c:pt idx="11">
                  <c:v>0</c:v>
                </c:pt>
              </c:numCache>
            </c:numRef>
          </c:val>
          <c:extLst>
            <c:ext xmlns:c16="http://schemas.microsoft.com/office/drawing/2014/chart" uri="{C3380CC4-5D6E-409C-BE32-E72D297353CC}">
              <c16:uniqueId val="{00000000-EC5E-4058-8696-A59EC6295743}"/>
            </c:ext>
          </c:extLst>
        </c:ser>
        <c:ser>
          <c:idx val="1"/>
          <c:order val="1"/>
          <c:tx>
            <c:strRef>
              <c:f>Trends!$A$18</c:f>
              <c:strCache>
                <c:ptCount val="1"/>
                <c:pt idx="0">
                  <c:v>Rail</c:v>
                </c:pt>
              </c:strCache>
            </c:strRef>
          </c:tx>
          <c:spPr>
            <a:solidFill>
              <a:schemeClr val="accent3"/>
            </a:solidFill>
            <a:ln>
              <a:noFill/>
            </a:ln>
            <a:effectLst/>
          </c:spPr>
          <c:invertIfNegative val="0"/>
          <c:cat>
            <c:strRef>
              <c:f>Trends!$H$16:$S$16</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Trends!$H$18:$S$18</c:f>
              <c:numCache>
                <c:formatCode>0</c:formatCode>
                <c:ptCount val="12"/>
                <c:pt idx="0" formatCode="#,##0">
                  <c:v>31.283200000000001</c:v>
                </c:pt>
                <c:pt idx="1">
                  <c:v>185.416</c:v>
                </c:pt>
                <c:pt idx="2">
                  <c:v>927.07999999999993</c:v>
                </c:pt>
                <c:pt idx="3" formatCode="#,##0">
                  <c:v>231.76999999999998</c:v>
                </c:pt>
                <c:pt idx="4" formatCode="#,##0">
                  <c:v>1761.1714559999998</c:v>
                </c:pt>
                <c:pt idx="5">
                  <c:v>1771.0780454400001</c:v>
                </c:pt>
                <c:pt idx="6" formatCode="#,##0">
                  <c:v>1308.9621954815998</c:v>
                </c:pt>
                <c:pt idx="7">
                  <c:v>1048.1098707763201</c:v>
                </c:pt>
                <c:pt idx="8" formatCode="#,##0">
                  <c:v>3294.9622783840059</c:v>
                </c:pt>
                <c:pt idx="9" formatCode="General">
                  <c:v>930</c:v>
                </c:pt>
                <c:pt idx="10" formatCode="#,##0">
                  <c:v>0</c:v>
                </c:pt>
                <c:pt idx="11" formatCode="#,##0">
                  <c:v>0</c:v>
                </c:pt>
              </c:numCache>
            </c:numRef>
          </c:val>
          <c:extLst>
            <c:ext xmlns:c16="http://schemas.microsoft.com/office/drawing/2014/chart" uri="{C3380CC4-5D6E-409C-BE32-E72D297353CC}">
              <c16:uniqueId val="{00000001-EC5E-4058-8696-A59EC6295743}"/>
            </c:ext>
          </c:extLst>
        </c:ser>
        <c:ser>
          <c:idx val="2"/>
          <c:order val="2"/>
          <c:tx>
            <c:strRef>
              <c:f>Trends!$A$19</c:f>
              <c:strCache>
                <c:ptCount val="1"/>
                <c:pt idx="0">
                  <c:v>Car</c:v>
                </c:pt>
              </c:strCache>
            </c:strRef>
          </c:tx>
          <c:spPr>
            <a:solidFill>
              <a:schemeClr val="accent5"/>
            </a:solidFill>
            <a:ln>
              <a:noFill/>
            </a:ln>
            <a:effectLst/>
          </c:spPr>
          <c:invertIfNegative val="0"/>
          <c:cat>
            <c:strRef>
              <c:f>Trends!$H$16:$S$16</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Trends!$H$19:$S$19</c:f>
              <c:numCache>
                <c:formatCode>0</c:formatCode>
                <c:ptCount val="12"/>
                <c:pt idx="0" formatCode="#,##0">
                  <c:v>3441.9811304347827</c:v>
                </c:pt>
                <c:pt idx="1">
                  <c:v>2406.2328000000002</c:v>
                </c:pt>
                <c:pt idx="2">
                  <c:v>1107.5328</c:v>
                </c:pt>
                <c:pt idx="3" formatCode="#,##0">
                  <c:v>1267.8335999999997</c:v>
                </c:pt>
                <c:pt idx="4" formatCode="#,##0">
                  <c:v>1288.9916159999998</c:v>
                </c:pt>
                <c:pt idx="5">
                  <c:v>142.13181950000001</c:v>
                </c:pt>
                <c:pt idx="6" formatCode="#,##0">
                  <c:v>144.28798940160004</c:v>
                </c:pt>
                <c:pt idx="7">
                  <c:v>219.87707461631999</c:v>
                </c:pt>
                <c:pt idx="8" formatCode="#,##0">
                  <c:v>808.45682837132529</c:v>
                </c:pt>
                <c:pt idx="9" formatCode="General">
                  <c:v>2072</c:v>
                </c:pt>
                <c:pt idx="10" formatCode="#,##0">
                  <c:v>0</c:v>
                </c:pt>
                <c:pt idx="11" formatCode="#,##0">
                  <c:v>306.40194000000002</c:v>
                </c:pt>
              </c:numCache>
            </c:numRef>
          </c:val>
          <c:extLst>
            <c:ext xmlns:c16="http://schemas.microsoft.com/office/drawing/2014/chart" uri="{C3380CC4-5D6E-409C-BE32-E72D297353CC}">
              <c16:uniqueId val="{00000002-EC5E-4058-8696-A59EC6295743}"/>
            </c:ext>
          </c:extLst>
        </c:ser>
        <c:ser>
          <c:idx val="3"/>
          <c:order val="3"/>
          <c:tx>
            <c:strRef>
              <c:f>Trends!$A$20</c:f>
              <c:strCache>
                <c:ptCount val="1"/>
                <c:pt idx="0">
                  <c:v>Bicycle</c:v>
                </c:pt>
              </c:strCache>
            </c:strRef>
          </c:tx>
          <c:spPr>
            <a:solidFill>
              <a:schemeClr val="accent1">
                <a:lumMod val="60000"/>
              </a:schemeClr>
            </a:solidFill>
            <a:ln>
              <a:noFill/>
            </a:ln>
            <a:effectLst/>
          </c:spPr>
          <c:invertIfNegative val="0"/>
          <c:cat>
            <c:strRef>
              <c:f>Trends!$H$16:$S$16</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Trends!$H$20:$S$20</c:f>
              <c:numCache>
                <c:formatCode>General</c:formatCode>
                <c:ptCount val="12"/>
                <c:pt idx="11" formatCode="#,##0">
                  <c:v>17.967959999999998</c:v>
                </c:pt>
              </c:numCache>
            </c:numRef>
          </c:val>
          <c:extLst>
            <c:ext xmlns:c16="http://schemas.microsoft.com/office/drawing/2014/chart" uri="{C3380CC4-5D6E-409C-BE32-E72D297353CC}">
              <c16:uniqueId val="{00000003-EC5E-4058-8696-A59EC6295743}"/>
            </c:ext>
          </c:extLst>
        </c:ser>
        <c:dLbls>
          <c:showLegendKey val="0"/>
          <c:showVal val="0"/>
          <c:showCatName val="0"/>
          <c:showSerName val="0"/>
          <c:showPercent val="0"/>
          <c:showBubbleSize val="0"/>
        </c:dLbls>
        <c:gapWidth val="150"/>
        <c:overlap val="100"/>
        <c:axId val="1046215631"/>
        <c:axId val="1046216047"/>
      </c:barChart>
      <c:catAx>
        <c:axId val="104621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216047"/>
        <c:crosses val="autoZero"/>
        <c:auto val="1"/>
        <c:lblAlgn val="ctr"/>
        <c:lblOffset val="100"/>
        <c:noMultiLvlLbl val="0"/>
      </c:catAx>
      <c:valAx>
        <c:axId val="10462160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215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Waste</a:t>
            </a:r>
            <a:r>
              <a:rPr lang="en-GB" baseline="0"/>
              <a:t> Disposal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Trends!$G$38</c:f>
              <c:strCache>
                <c:ptCount val="1"/>
                <c:pt idx="0">
                  <c:v>Recycled</c:v>
                </c:pt>
              </c:strCache>
            </c:strRef>
          </c:tx>
          <c:spPr>
            <a:solidFill>
              <a:schemeClr val="accent1"/>
            </a:solidFill>
            <a:ln>
              <a:noFill/>
            </a:ln>
            <a:effectLst/>
          </c:spPr>
          <c:invertIfNegative val="0"/>
          <c:cat>
            <c:strRef>
              <c:f>Trends!$H$37:$S$37</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Trends!$H$38:$S$38</c:f>
              <c:numCache>
                <c:formatCode>0</c:formatCode>
                <c:ptCount val="12"/>
                <c:pt idx="0">
                  <c:v>149.44000000000003</c:v>
                </c:pt>
                <c:pt idx="1">
                  <c:v>150.63</c:v>
                </c:pt>
                <c:pt idx="2">
                  <c:v>134.73999999999998</c:v>
                </c:pt>
                <c:pt idx="3">
                  <c:v>89.41</c:v>
                </c:pt>
                <c:pt idx="4">
                  <c:v>49.38</c:v>
                </c:pt>
                <c:pt idx="5" formatCode="General">
                  <c:v>65</c:v>
                </c:pt>
                <c:pt idx="6" formatCode="General">
                  <c:v>110</c:v>
                </c:pt>
                <c:pt idx="7" formatCode="General">
                  <c:v>49.38</c:v>
                </c:pt>
                <c:pt idx="8" formatCode="#,##0">
                  <c:v>31.849999999999998</c:v>
                </c:pt>
                <c:pt idx="9" formatCode="General">
                  <c:v>12</c:v>
                </c:pt>
                <c:pt idx="10">
                  <c:v>33</c:v>
                </c:pt>
                <c:pt idx="11">
                  <c:v>28</c:v>
                </c:pt>
              </c:numCache>
            </c:numRef>
          </c:val>
          <c:extLst>
            <c:ext xmlns:c16="http://schemas.microsoft.com/office/drawing/2014/chart" uri="{C3380CC4-5D6E-409C-BE32-E72D297353CC}">
              <c16:uniqueId val="{00000000-9575-4263-99EE-726141C45E1C}"/>
            </c:ext>
          </c:extLst>
        </c:ser>
        <c:ser>
          <c:idx val="1"/>
          <c:order val="1"/>
          <c:tx>
            <c:strRef>
              <c:f>Trends!$G$39</c:f>
              <c:strCache>
                <c:ptCount val="1"/>
                <c:pt idx="0">
                  <c:v>Landfill</c:v>
                </c:pt>
              </c:strCache>
            </c:strRef>
          </c:tx>
          <c:spPr>
            <a:solidFill>
              <a:schemeClr val="accent2"/>
            </a:solidFill>
            <a:ln>
              <a:noFill/>
            </a:ln>
            <a:effectLst/>
          </c:spPr>
          <c:invertIfNegative val="0"/>
          <c:cat>
            <c:strRef>
              <c:f>Trends!$H$37:$S$37</c:f>
              <c:strCache>
                <c:ptCount val="12"/>
                <c:pt idx="0">
                  <c:v>09/10</c:v>
                </c:pt>
                <c:pt idx="1">
                  <c:v>10/11</c:v>
                </c:pt>
                <c:pt idx="2">
                  <c:v>11/12</c:v>
                </c:pt>
                <c:pt idx="3">
                  <c:v>12/13</c:v>
                </c:pt>
                <c:pt idx="4">
                  <c:v>14/15</c:v>
                </c:pt>
                <c:pt idx="5">
                  <c:v>15/16</c:v>
                </c:pt>
                <c:pt idx="6">
                  <c:v>16/17</c:v>
                </c:pt>
                <c:pt idx="7">
                  <c:v>17/8</c:v>
                </c:pt>
                <c:pt idx="8">
                  <c:v>18/19</c:v>
                </c:pt>
                <c:pt idx="9">
                  <c:v>19/20</c:v>
                </c:pt>
                <c:pt idx="10">
                  <c:v>20/21</c:v>
                </c:pt>
                <c:pt idx="11">
                  <c:v>21/22</c:v>
                </c:pt>
              </c:strCache>
            </c:strRef>
          </c:cat>
          <c:val>
            <c:numRef>
              <c:f>Trends!$H$39:$S$39</c:f>
              <c:numCache>
                <c:formatCode>0</c:formatCode>
                <c:ptCount val="12"/>
                <c:pt idx="0">
                  <c:v>40.179999999999993</c:v>
                </c:pt>
                <c:pt idx="1">
                  <c:v>59.959999999999994</c:v>
                </c:pt>
                <c:pt idx="2">
                  <c:v>64.120000000000019</c:v>
                </c:pt>
                <c:pt idx="3">
                  <c:v>43.74</c:v>
                </c:pt>
                <c:pt idx="4">
                  <c:v>33.32</c:v>
                </c:pt>
                <c:pt idx="5" formatCode="General">
                  <c:v>43</c:v>
                </c:pt>
                <c:pt idx="6" formatCode="General">
                  <c:v>49</c:v>
                </c:pt>
                <c:pt idx="7" formatCode="General">
                  <c:v>33.32</c:v>
                </c:pt>
                <c:pt idx="8" formatCode="#,##0">
                  <c:v>15.9</c:v>
                </c:pt>
                <c:pt idx="9" formatCode="General">
                  <c:v>5</c:v>
                </c:pt>
                <c:pt idx="10" formatCode="General">
                  <c:v>0</c:v>
                </c:pt>
                <c:pt idx="11">
                  <c:v>5</c:v>
                </c:pt>
              </c:numCache>
            </c:numRef>
          </c:val>
          <c:extLst>
            <c:ext xmlns:c16="http://schemas.microsoft.com/office/drawing/2014/chart" uri="{C3380CC4-5D6E-409C-BE32-E72D297353CC}">
              <c16:uniqueId val="{00000001-9575-4263-99EE-726141C45E1C}"/>
            </c:ext>
          </c:extLst>
        </c:ser>
        <c:dLbls>
          <c:showLegendKey val="0"/>
          <c:showVal val="0"/>
          <c:showCatName val="0"/>
          <c:showSerName val="0"/>
          <c:showPercent val="0"/>
          <c:showBubbleSize val="0"/>
        </c:dLbls>
        <c:gapWidth val="150"/>
        <c:overlap val="100"/>
        <c:axId val="714356160"/>
        <c:axId val="714371552"/>
      </c:barChart>
      <c:catAx>
        <c:axId val="7143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371552"/>
        <c:crosses val="autoZero"/>
        <c:auto val="1"/>
        <c:lblAlgn val="ctr"/>
        <c:lblOffset val="100"/>
        <c:noMultiLvlLbl val="0"/>
      </c:catAx>
      <c:valAx>
        <c:axId val="714371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3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4">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cs:styleClr val="auto">
        <a:shade val="50000"/>
      </cs:styleClr>
    </cs:lnRef>
    <cs:fillRef idx="1">
      <cs:styleClr val="auto"/>
    </cs:fillRef>
    <cs:effectRef idx="0"/>
    <cs:fontRef idx="minor">
      <a:schemeClr val="dk1"/>
    </cs:fontRef>
    <cs:spPr>
      <a:ln>
        <a:round/>
      </a:ln>
    </cs:spPr>
  </cs:dataPoint>
  <cs:dataPoint3D>
    <cs:lnRef idx="1">
      <cs:styleClr val="auto">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a:schemeClr val="dk1"/>
    </cs:lnRef>
    <cs:fillRef idx="1">
      <a:schemeClr val="dk1">
        <a:tint val="95000"/>
      </a:schem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a:schemeClr val="dk1">
        <a:tint val="20000"/>
      </a:schem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a:schemeClr val="dk1">
        <a:tint val="20000"/>
      </a:schem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a:schemeClr val="dk1"/>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a:schemeClr val="dk1">
        <a:tint val="20000"/>
      </a:schemeClr>
    </cs:fillRef>
    <cs:effectRef idx="0"/>
    <cs:fontRef idx="minor">
      <a:schemeClr val="dk1"/>
    </cs:fontRef>
  </cs:wall>
</cs:chartStyle>
</file>

<file path=word/charts/style2.xml><?xml version="1.0" encoding="utf-8"?>
<cs:chartStyle xmlns:cs="http://schemas.microsoft.com/office/drawing/2012/chartStyle" xmlns:a="http://schemas.openxmlformats.org/drawingml/2006/main" id="138">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cf4cc-4572-460a-82c0-75b744dd6080">
      <UserInfo>
        <DisplayName>Deborah Long</DisplayName>
        <AccountId>32</AccountId>
        <AccountType/>
      </UserInfo>
    </SharedWithUsers>
    <TaxCatchAll xmlns="a59cf4cc-4572-460a-82c0-75b744dd6080" xsi:nil="true"/>
    <lcf76f155ced4ddcb4097134ff3c332f xmlns="b5996aa8-5fb8-49d9-9b47-f8ec6b2bca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A830767D26545A5F7DBA80A7B07CE" ma:contentTypeVersion="15" ma:contentTypeDescription="Create a new document." ma:contentTypeScope="" ma:versionID="a0f3d27540866478a43ca391aa899f1e">
  <xsd:schema xmlns:xsd="http://www.w3.org/2001/XMLSchema" xmlns:xs="http://www.w3.org/2001/XMLSchema" xmlns:p="http://schemas.microsoft.com/office/2006/metadata/properties" xmlns:ns2="a59cf4cc-4572-460a-82c0-75b744dd6080" xmlns:ns3="b5996aa8-5fb8-49d9-9b47-f8ec6b2bcafb" targetNamespace="http://schemas.microsoft.com/office/2006/metadata/properties" ma:root="true" ma:fieldsID="b61460db979832862bc2beb405bc5a07" ns2:_="" ns3:_="">
    <xsd:import namespace="a59cf4cc-4572-460a-82c0-75b744dd6080"/>
    <xsd:import namespace="b5996aa8-5fb8-49d9-9b47-f8ec6b2bc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f4cc-4572-460a-82c0-75b744dd6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77cc09d-f867-40a0-9a99-dfae8c20cdf9}" ma:internalName="TaxCatchAll" ma:showField="CatchAllData" ma:web="a59cf4cc-4572-460a-82c0-75b744dd6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96aa8-5fb8-49d9-9b47-f8ec6b2bca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152391-5c8c-4ecd-93af-597a4a38f1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64FD-AB3E-4930-9EE4-A0E468563920}">
  <ds:schemaRefs>
    <ds:schemaRef ds:uri="http://schemas.microsoft.com/office/2006/metadata/properties"/>
    <ds:schemaRef ds:uri="http://schemas.microsoft.com/office/infopath/2007/PartnerControls"/>
    <ds:schemaRef ds:uri="a59cf4cc-4572-460a-82c0-75b744dd6080"/>
    <ds:schemaRef ds:uri="b5996aa8-5fb8-49d9-9b47-f8ec6b2bcafb"/>
  </ds:schemaRefs>
</ds:datastoreItem>
</file>

<file path=customXml/itemProps2.xml><?xml version="1.0" encoding="utf-8"?>
<ds:datastoreItem xmlns:ds="http://schemas.openxmlformats.org/officeDocument/2006/customXml" ds:itemID="{2E0D4796-37ED-49B0-B7BB-DF87A85F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cf4cc-4572-460a-82c0-75b744dd6080"/>
    <ds:schemaRef ds:uri="b5996aa8-5fb8-49d9-9b47-f8ec6b2b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93B06-52F4-446B-AF15-F646ABA5E826}">
  <ds:schemaRefs>
    <ds:schemaRef ds:uri="http://schemas.microsoft.com/sharepoint/v3/contenttype/forms"/>
  </ds:schemaRefs>
</ds:datastoreItem>
</file>

<file path=customXml/itemProps4.xml><?xml version="1.0" encoding="utf-8"?>
<ds:datastoreItem xmlns:ds="http://schemas.openxmlformats.org/officeDocument/2006/customXml" ds:itemID="{F64CF37E-EBC5-49B7-B4CD-75ABA54B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hgreen</dc:creator>
  <cp:keywords/>
  <cp:lastModifiedBy>Rachael Fairbairn</cp:lastModifiedBy>
  <cp:revision>2</cp:revision>
  <cp:lastPrinted>2020-08-27T10:00:00Z</cp:lastPrinted>
  <dcterms:created xsi:type="dcterms:W3CDTF">2022-10-26T10:40:00Z</dcterms:created>
  <dcterms:modified xsi:type="dcterms:W3CDTF">2022-10-26T10:40:00Z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0x010100919A830767D26545A5F7DBA80A7B07CE</vt:lpwstr>
  </property>
  <property fmtid="{D5CDD505-2E9C-101B-9397-08002B2CF9AE}" pid="3" name="MediaServiceImageTags">
    <vt:lpwstr/>
  </property>
</Properties>
</file>